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pPr>
        <w:spacing w:line="640" w:lineRule="exact"/>
        <w:ind w:firstLine="2240" w:firstLineChars="700"/>
        <w:rPr>
          <w:rFonts w:ascii="宋体" w:hAnsi="宋体" w:eastAsia="宋体"/>
          <w:color w:val="auto"/>
          <w:sz w:val="32"/>
          <w:szCs w:val="32"/>
          <w:highlight w:val="none"/>
        </w:rPr>
      </w:pP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pPr>
        <w:jc w:val="center"/>
        <w:rPr>
          <w:rFonts w:ascii="方正小标宋简体" w:hAnsi="微软雅黑" w:eastAsia="方正小标宋简体"/>
          <w:color w:val="auto"/>
          <w:sz w:val="36"/>
          <w:szCs w:val="36"/>
          <w:highlight w:val="none"/>
        </w:rPr>
      </w:pPr>
    </w:p>
    <w:p>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4</w:t>
      </w:r>
      <w:r>
        <w:rPr>
          <w:rFonts w:hint="eastAsia" w:ascii="宋体" w:hAnsi="宋体" w:eastAsia="宋体" w:cs="宋体"/>
          <w:bCs/>
          <w:color w:val="auto"/>
          <w:sz w:val="32"/>
          <w:szCs w:val="32"/>
          <w:highlight w:val="none"/>
          <w:lang w:val="zh-CN"/>
        </w:rPr>
        <w:t>月</w:t>
      </w:r>
      <w:bookmarkStart w:id="0" w:name="_Hlt101233737"/>
      <w:bookmarkEnd w:id="0"/>
      <w:bookmarkStart w:id="1" w:name="_Hlt101843627"/>
      <w:bookmarkEnd w:id="1"/>
    </w:p>
    <w:p>
      <w:pPr>
        <w:pStyle w:val="28"/>
        <w:rPr>
          <w:color w:val="auto"/>
          <w:highlight w:val="none"/>
          <w:lang w:val="zh-CN"/>
        </w:rPr>
      </w:pPr>
      <w:r>
        <w:rPr>
          <w:color w:val="auto"/>
          <w:highlight w:val="none"/>
          <w:lang w:val="zh-CN"/>
        </w:rPr>
        <w:br w:type="page"/>
      </w:r>
    </w:p>
    <w:p>
      <w:pPr>
        <w:pStyle w:val="2"/>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eastAsia="zh-CN"/>
        </w:rPr>
        <w:t>对</w:t>
      </w:r>
      <w:r>
        <w:rPr>
          <w:rFonts w:hint="eastAsia" w:ascii="宋体" w:hAnsi="宋体" w:eastAsia="宋体" w:cs="Times New Roman"/>
          <w:color w:val="auto"/>
          <w:sz w:val="24"/>
          <w:szCs w:val="24"/>
          <w:highlight w:val="none"/>
          <w:lang w:val="en-US" w:eastAsia="zh-CN"/>
        </w:rPr>
        <w:t>9号学生宿舍建设项目招标代理机构服务</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9号学生宿舍建设项目招标代理机构服务</w:t>
      </w:r>
    </w:p>
    <w:p>
      <w:pPr>
        <w:spacing w:line="360" w:lineRule="auto"/>
        <w:ind w:firstLine="482" w:firstLineChars="200"/>
        <w:outlineLvl w:val="1"/>
        <w:rPr>
          <w:rFonts w:hint="default" w:ascii="宋体" w:hAnsi="宋体" w:eastAsia="宋体" w:cs="Times New Roman"/>
          <w:color w:val="auto"/>
          <w:sz w:val="24"/>
          <w:szCs w:val="24"/>
          <w:highlight w:val="none"/>
          <w:lang w:val="en-US" w:eastAsia="zh-CN"/>
        </w:rPr>
      </w:pPr>
      <w:r>
        <w:rPr>
          <w:rFonts w:hint="eastAsia" w:ascii="宋体" w:hAnsi="宋体" w:eastAsia="宋体" w:cs="Times New Roman"/>
          <w:b/>
          <w:color w:val="auto"/>
          <w:sz w:val="24"/>
          <w:szCs w:val="24"/>
          <w:highlight w:val="none"/>
        </w:rPr>
        <w:t>二、项目编号：</w:t>
      </w:r>
      <w:r>
        <w:rPr>
          <w:rFonts w:hint="eastAsia" w:ascii="宋体" w:hAnsi="宋体" w:eastAsia="宋体" w:cs="Times New Roman"/>
          <w:color w:val="auto"/>
          <w:sz w:val="24"/>
          <w:szCs w:val="24"/>
          <w:highlight w:val="none"/>
          <w:lang w:val="en-US" w:eastAsia="zh-CN"/>
        </w:rPr>
        <w:t>CTZY-CG-2024022</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一</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具有独立承担民事责任的能力；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具有良好的商业信誉和健全的财务会计制度；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三</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具有履行合同所必需的设备和专业技术能力；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四</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有依法缴纳税收和社会保障资金的良好记录；</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五</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参加比选活动前三年内，在经营活动中没有重大违法记录；</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六</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法律、行政法规规定的其他条件。</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本次比选公告在四川铁道职业学院官网（https://www.scrc.org.cn/）发布。</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4</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5 </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6 </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rPr>
        <w:t>10：</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lang w:eastAsia="zh-CN"/>
        </w:rPr>
        <w:t>）</w:t>
      </w:r>
      <w:bookmarkStart w:id="30" w:name="_GoBack"/>
      <w:bookmarkEnd w:id="30"/>
    </w:p>
    <w:p>
      <w:pPr>
        <w:pStyle w:val="9"/>
        <w:spacing w:after="0" w:line="360" w:lineRule="auto"/>
        <w:ind w:firstLine="480" w:firstLineChars="200"/>
        <w:rPr>
          <w:rFonts w:hint="eastAsia" w:ascii="宋体" w:hAnsi="宋体" w:eastAsia="宋体" w:cs="Times New Roman"/>
          <w:color w:val="auto"/>
          <w:sz w:val="24"/>
          <w:szCs w:val="24"/>
          <w:highlight w:val="none"/>
        </w:rPr>
      </w:pP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1.比选申请文件应在参加比选时间前送达比选地，未在参加比选前送到的文件将被拒收。</w:t>
      </w: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2.逾期送达或没有密封的比选申请文件恕不接收。</w:t>
      </w:r>
    </w:p>
    <w:p>
      <w:pPr>
        <w:pStyle w:val="18"/>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pPr>
        <w:pStyle w:val="9"/>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成都郫都区安德街道彭温路</w:t>
      </w:r>
      <w:r>
        <w:rPr>
          <w:rFonts w:ascii="宋体" w:hAnsi="宋体" w:eastAsia="宋体" w:cs="Times New Roman"/>
          <w:color w:val="auto"/>
          <w:sz w:val="24"/>
          <w:szCs w:val="24"/>
          <w:highlight w:val="none"/>
        </w:rPr>
        <w:t>399号四川铁道职业学院基建后勤办公区</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室</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评标室</w:t>
      </w:r>
      <w:r>
        <w:rPr>
          <w:rFonts w:hint="eastAsia" w:ascii="宋体" w:hAnsi="宋体" w:eastAsia="宋体" w:cs="Times New Roman"/>
          <w:color w:val="auto"/>
          <w:sz w:val="24"/>
          <w:szCs w:val="24"/>
          <w:highlight w:val="none"/>
          <w:lang w:eastAsia="zh-CN"/>
        </w:rPr>
        <w:t>）</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 选 人：四川铁道职业学院</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址：成都市郫都区安德街道彭温路399号</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人：贺老师</w:t>
      </w:r>
      <w:r>
        <w:rPr>
          <w:rFonts w:hint="eastAsia" w:ascii="宋体" w:hAnsi="宋体" w:eastAsia="宋体" w:cs="Times New Roman"/>
          <w:color w:val="auto"/>
          <w:sz w:val="24"/>
          <w:szCs w:val="24"/>
          <w:highlight w:val="none"/>
          <w:lang w:eastAsia="zh-CN"/>
        </w:rPr>
        <w:t>、马老师</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联系电话：028-68939875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68939920</w:t>
      </w:r>
    </w:p>
    <w:p>
      <w:pPr>
        <w:rPr>
          <w:rFonts w:ascii="宋体" w:hAnsi="宋体" w:eastAsia="宋体"/>
          <w:color w:val="auto"/>
          <w:highlight w:val="none"/>
        </w:rPr>
      </w:pPr>
      <w:r>
        <w:rPr>
          <w:rFonts w:ascii="宋体" w:hAnsi="宋体" w:eastAsia="宋体"/>
          <w:color w:val="auto"/>
          <w:highlight w:val="none"/>
        </w:rPr>
        <w:br w:type="page"/>
      </w:r>
    </w:p>
    <w:p>
      <w:pPr>
        <w:widowControl/>
        <w:spacing w:line="520" w:lineRule="exact"/>
        <w:jc w:val="center"/>
        <w:outlineLvl w:val="0"/>
        <w:rPr>
          <w:rFonts w:ascii="宋体" w:hAnsi="宋体" w:eastAsia="宋体" w:cs="仿宋"/>
          <w:b/>
          <w:color w:val="auto"/>
          <w:sz w:val="36"/>
          <w:szCs w:val="32"/>
          <w:highlight w:val="none"/>
        </w:rPr>
      </w:pPr>
      <w:bookmarkStart w:id="2" w:name="_Toc18147"/>
      <w:bookmarkStart w:id="3" w:name="_Toc23677"/>
      <w:bookmarkStart w:id="4" w:name="_Toc4075"/>
      <w:r>
        <w:rPr>
          <w:rFonts w:hint="eastAsia" w:ascii="宋体" w:hAnsi="宋体" w:eastAsia="宋体" w:cs="仿宋"/>
          <w:b/>
          <w:color w:val="auto"/>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2"/>
              <w:spacing w:line="360" w:lineRule="exact"/>
              <w:ind w:left="210" w:leftChars="100"/>
              <w:jc w:val="both"/>
              <w:rPr>
                <w:rFonts w:hint="eastAsia"/>
                <w:color w:val="auto"/>
                <w:sz w:val="24"/>
                <w:highlight w:val="none"/>
                <w:lang w:val="zh-CN"/>
              </w:rPr>
            </w:pPr>
            <w:r>
              <w:rPr>
                <w:rFonts w:hint="eastAsia"/>
                <w:color w:val="auto"/>
                <w:sz w:val="24"/>
                <w:highlight w:val="none"/>
                <w:lang w:val="zh-CN"/>
              </w:rPr>
              <w:t>人民币</w:t>
            </w:r>
            <w:r>
              <w:rPr>
                <w:rFonts w:hint="eastAsia"/>
                <w:color w:val="auto"/>
                <w:sz w:val="24"/>
                <w:highlight w:val="none"/>
                <w:lang w:val="en-US" w:eastAsia="zh-CN"/>
              </w:rPr>
              <w:t>17.8</w:t>
            </w:r>
            <w:r>
              <w:rPr>
                <w:rFonts w:hint="eastAsia"/>
                <w:color w:val="auto"/>
                <w:sz w:val="24"/>
                <w:highlight w:val="none"/>
                <w:lang w:val="zh-CN"/>
              </w:rPr>
              <w:t>万元</w:t>
            </w:r>
          </w:p>
          <w:p>
            <w:pPr>
              <w:pStyle w:val="42"/>
              <w:spacing w:line="360" w:lineRule="exact"/>
              <w:ind w:left="210" w:leftChars="100"/>
              <w:jc w:val="both"/>
              <w:rPr>
                <w:rFonts w:cstheme="minorBidi"/>
                <w:bCs/>
                <w:color w:val="auto"/>
                <w:kern w:val="2"/>
                <w:sz w:val="21"/>
                <w:szCs w:val="21"/>
                <w:highlight w:val="none"/>
                <w:lang w:val="zh-CN"/>
              </w:rPr>
            </w:pPr>
            <w:r>
              <w:rPr>
                <w:rFonts w:hint="eastAsia"/>
                <w:color w:val="auto"/>
                <w:sz w:val="24"/>
                <w:highlight w:val="none"/>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1"/>
              <w:tabs>
                <w:tab w:val="left" w:pos="22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2"/>
              <w:spacing w:line="360" w:lineRule="exact"/>
              <w:ind w:left="210" w:leftChars="100"/>
              <w:jc w:val="both"/>
              <w:rPr>
                <w:rFonts w:hint="eastAsia"/>
                <w:color w:val="auto"/>
                <w:sz w:val="24"/>
                <w:highlight w:val="none"/>
              </w:rPr>
            </w:pPr>
            <w:r>
              <w:rPr>
                <w:rFonts w:hint="eastAsia"/>
                <w:color w:val="auto"/>
                <w:sz w:val="24"/>
                <w:highlight w:val="none"/>
              </w:rPr>
              <w:t>按《国家计委关于印发〈招标代理服务收费管理暂行办法〉的通知》（计价格〔2002〕1980号文）相应收费标准</w:t>
            </w:r>
            <w:r>
              <w:rPr>
                <w:rFonts w:hint="eastAsia"/>
                <w:color w:val="auto"/>
                <w:sz w:val="24"/>
                <w:highlight w:val="none"/>
                <w:lang w:val="en-US" w:eastAsia="zh-CN"/>
              </w:rPr>
              <w:t>不下浮</w:t>
            </w:r>
            <w:r>
              <w:rPr>
                <w:rFonts w:hint="eastAsia"/>
                <w:color w:val="auto"/>
                <w:sz w:val="24"/>
                <w:highlight w:val="none"/>
              </w:rPr>
              <w:t>。</w:t>
            </w:r>
          </w:p>
          <w:p>
            <w:pPr>
              <w:pStyle w:val="42"/>
              <w:spacing w:line="360" w:lineRule="exact"/>
              <w:ind w:left="210" w:leftChars="100"/>
              <w:jc w:val="both"/>
              <w:rPr>
                <w:rFonts w:hint="eastAsia" w:cs="Times New Roman"/>
                <w:color w:val="auto"/>
                <w:kern w:val="2"/>
                <w:lang w:val="zh-CN" w:eastAsia="zh-CN"/>
              </w:rPr>
            </w:pPr>
            <w:r>
              <w:rPr>
                <w:rFonts w:hint="eastAsia"/>
                <w:color w:val="auto"/>
                <w:sz w:val="24"/>
                <w:highlight w:val="none"/>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pPr>
              <w:pStyle w:val="42"/>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比选评审委员会认为申请人的报价明显低于其他通过符合性</w:t>
            </w:r>
            <w:r>
              <w:rPr>
                <w:rFonts w:hint="eastAsia" w:cs="Times New Roman"/>
                <w:color w:val="auto"/>
                <w:kern w:val="2"/>
                <w:lang w:val="en-US" w:eastAsia="zh-CN"/>
              </w:rPr>
              <w:t>审</w:t>
            </w:r>
            <w:r>
              <w:rPr>
                <w:rFonts w:hint="eastAsia" w:cs="Times New Roman"/>
                <w:color w:val="auto"/>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pPr>
              <w:pStyle w:val="42"/>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（1）比选人通过</w:t>
            </w:r>
          </w:p>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信用中国（</w:t>
            </w:r>
            <w:r>
              <w:rPr>
                <w:rFonts w:hint="eastAsia" w:cs="Times New Roman"/>
                <w:color w:val="auto"/>
                <w:kern w:val="2"/>
                <w:lang w:val="zh-CN"/>
              </w:rPr>
              <w:fldChar w:fldCharType="begin"/>
            </w:r>
            <w:r>
              <w:rPr>
                <w:rFonts w:hint="eastAsia" w:cs="Times New Roman"/>
                <w:color w:val="auto"/>
                <w:kern w:val="2"/>
                <w:lang w:val="zh-CN"/>
              </w:rPr>
              <w:instrText xml:space="preserve"> HYPERLINK "http://www.creditchina.gov.cn）、中国政府采购网（www.ccgp.gov.cn）" </w:instrText>
            </w:r>
            <w:r>
              <w:rPr>
                <w:rFonts w:hint="eastAsia" w:cs="Times New Roman"/>
                <w:color w:val="auto"/>
                <w:kern w:val="2"/>
                <w:lang w:val="zh-CN"/>
              </w:rPr>
              <w:fldChar w:fldCharType="separate"/>
            </w:r>
            <w:r>
              <w:rPr>
                <w:rFonts w:hint="eastAsia" w:cs="Times New Roman"/>
                <w:color w:val="auto"/>
                <w:kern w:val="2"/>
                <w:lang w:val="zh-CN"/>
              </w:rPr>
              <w:t>www.creditchina.gov.cn）和中国政府采购网（www.ccgp.gov.cn）</w:t>
            </w:r>
            <w:r>
              <w:rPr>
                <w:rFonts w:hint="eastAsia" w:cs="Times New Roman"/>
                <w:color w:val="auto"/>
                <w:kern w:val="2"/>
                <w:lang w:val="zh-CN"/>
              </w:rPr>
              <w:fldChar w:fldCharType="end"/>
            </w:r>
            <w:r>
              <w:rPr>
                <w:rFonts w:hint="eastAsia" w:cs="Times New Roman"/>
                <w:color w:val="auto"/>
                <w:kern w:val="2"/>
                <w:lang w:val="zh-CN"/>
              </w:rPr>
              <w:t>进行信用记录查询；</w:t>
            </w:r>
          </w:p>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（2）查询时间：本项目资格审查时；</w:t>
            </w:r>
          </w:p>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（3）查询记录和证据留存的具体方式：与比选文件一并保存；</w:t>
            </w:r>
          </w:p>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pPr>
              <w:pStyle w:val="42"/>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pPr>
              <w:pStyle w:val="42"/>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pPr>
              <w:pStyle w:val="42"/>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pPr>
              <w:pStyle w:val="42"/>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2"/>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pPr>
              <w:pStyle w:val="42"/>
              <w:spacing w:line="360" w:lineRule="exact"/>
              <w:ind w:left="210" w:leftChars="100"/>
              <w:jc w:val="both"/>
              <w:rPr>
                <w:rFonts w:hint="eastAsia" w:cs="Times New Roman"/>
                <w:color w:val="auto"/>
                <w:kern w:val="2"/>
                <w:lang w:val="zh-CN"/>
              </w:rPr>
            </w:pPr>
            <w:r>
              <w:rPr>
                <w:rFonts w:hint="eastAsia" w:cs="Times New Roman"/>
                <w:color w:val="auto"/>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以下</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以内</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届满”，包括本数；所称的“不满</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超过</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以外”，不包括本数。</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217446044"/>
      <w:bookmarkStart w:id="10" w:name="_Toc183682353"/>
      <w:bookmarkStart w:id="11" w:name="_Toc183582216"/>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pPr>
        <w:pStyle w:val="4"/>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bookmarkStart w:id="12" w:name="_Toc183682365"/>
      <w:bookmarkStart w:id="13" w:name="_Toc217446055"/>
      <w:bookmarkStart w:id="14" w:name="_Toc183582228"/>
      <w:r>
        <w:rPr>
          <w:rFonts w:hint="eastAsia" w:ascii="宋体" w:hAnsi="宋体" w:eastAsia="宋体" w:cs="Times New Roman"/>
          <w:b/>
          <w:color w:val="auto"/>
          <w:sz w:val="24"/>
          <w:szCs w:val="24"/>
          <w:highlight w:val="none"/>
        </w:rPr>
        <w:t>（十一）比选申请文件的修改和撤回</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pPr>
        <w:spacing w:line="360" w:lineRule="auto"/>
        <w:ind w:firstLine="482" w:firstLineChars="200"/>
        <w:outlineLvl w:val="2"/>
        <w:rPr>
          <w:rFonts w:ascii="宋体" w:hAnsi="宋体" w:eastAsia="宋体" w:cs="Times New Roman"/>
          <w:b/>
          <w:color w:val="auto"/>
          <w:sz w:val="24"/>
          <w:szCs w:val="24"/>
          <w:highlight w:val="none"/>
        </w:rPr>
      </w:pPr>
      <w:bookmarkStart w:id="15" w:name="_Toc101250646"/>
      <w:bookmarkStart w:id="16" w:name="_Toc101174151"/>
      <w:bookmarkStart w:id="17" w:name="_Toc101338364"/>
      <w:bookmarkStart w:id="18" w:name="_Toc209847069"/>
      <w:bookmarkStart w:id="19" w:name="_Toc430773927"/>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pPr>
        <w:rPr>
          <w:rFonts w:ascii="宋体" w:hAnsi="宋体" w:eastAsia="宋体"/>
          <w:color w:val="auto"/>
          <w:highlight w:val="none"/>
        </w:rPr>
      </w:pPr>
      <w:r>
        <w:rPr>
          <w:rFonts w:ascii="宋体" w:hAnsi="宋体" w:eastAsia="宋体"/>
          <w:color w:val="auto"/>
          <w:highlight w:val="none"/>
        </w:rPr>
        <w:br w:type="page"/>
      </w:r>
    </w:p>
    <w:p>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pPr>
        <w:widowControl/>
        <w:spacing w:line="360" w:lineRule="atLeast"/>
        <w:ind w:firstLine="470" w:firstLineChars="196"/>
        <w:rPr>
          <w:rFonts w:ascii="宋体" w:hAnsi="宋体" w:eastAsia="宋体"/>
          <w:color w:val="auto"/>
          <w:sz w:val="24"/>
          <w:highlight w:val="none"/>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年度财务报表复印件（至少包含资产负债表）；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pPr>
        <w:rPr>
          <w:rFonts w:ascii="宋体" w:hAnsi="宋体" w:eastAsia="宋体"/>
          <w:color w:val="auto"/>
          <w:highlight w:val="none"/>
        </w:rPr>
      </w:pPr>
      <w:r>
        <w:rPr>
          <w:rFonts w:ascii="宋体" w:hAnsi="宋体" w:eastAsia="宋体"/>
          <w:color w:val="auto"/>
          <w:highlight w:val="none"/>
        </w:rPr>
        <w:br w:type="page"/>
      </w:r>
    </w:p>
    <w:p>
      <w:pPr>
        <w:pStyle w:val="2"/>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23416"/>
      <w:bookmarkStart w:id="22" w:name="_Toc13420"/>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pPr>
        <w:wordWrap/>
        <w:topLinePunct w:val="0"/>
        <w:bidi w:val="0"/>
        <w:spacing w:line="360" w:lineRule="auto"/>
        <w:ind w:firstLine="470" w:firstLineChars="196"/>
        <w:textAlignment w:val="auto"/>
        <w:rPr>
          <w:rFonts w:hint="eastAsia" w:hAnsi="宋体" w:eastAsia="宋体" w:cs="宋体"/>
          <w:color w:val="auto"/>
          <w:spacing w:val="0"/>
          <w:position w:val="0"/>
          <w:sz w:val="24"/>
          <w:szCs w:val="24"/>
          <w:highlight w:val="none"/>
          <w:lang w:val="en-US" w:eastAsia="zh-CN"/>
        </w:rPr>
      </w:pPr>
      <w:r>
        <w:rPr>
          <w:rFonts w:hint="eastAsia" w:ascii="宋体" w:hAnsi="宋体" w:eastAsia="宋体"/>
          <w:color w:val="auto"/>
          <w:sz w:val="24"/>
          <w:szCs w:val="24"/>
          <w:highlight w:val="none"/>
          <w:lang w:val="zh-CN"/>
        </w:rPr>
        <w:t>1.项目名称：</w:t>
      </w:r>
      <w:r>
        <w:rPr>
          <w:rFonts w:hint="eastAsia" w:ascii="宋体" w:hAnsi="宋体" w:eastAsia="宋体" w:cs="Times New Roman"/>
          <w:color w:val="auto"/>
          <w:sz w:val="24"/>
          <w:szCs w:val="24"/>
          <w:highlight w:val="none"/>
          <w:lang w:val="en-US" w:eastAsia="zh-CN"/>
        </w:rPr>
        <w:t>9号学生宿舍建设项目招标代理机构服务</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2.建设地点：四川铁道职业学院校园内</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zh-CN"/>
        </w:rPr>
        <w:t>3.</w:t>
      </w:r>
      <w:r>
        <w:rPr>
          <w:rFonts w:hint="eastAsia" w:ascii="宋体" w:hAnsi="宋体" w:eastAsia="宋体"/>
          <w:color w:val="auto"/>
          <w:sz w:val="24"/>
          <w:szCs w:val="24"/>
          <w:highlight w:val="none"/>
          <w:lang w:val="en-US" w:eastAsia="zh-CN"/>
        </w:rPr>
        <w:t>项目介绍</w:t>
      </w:r>
      <w:r>
        <w:rPr>
          <w:rFonts w:hint="eastAsia" w:ascii="宋体" w:hAnsi="宋体" w:eastAsia="宋体"/>
          <w:color w:val="auto"/>
          <w:sz w:val="24"/>
          <w:szCs w:val="24"/>
          <w:highlight w:val="none"/>
          <w:lang w:val="zh-CN" w:eastAsia="zh-CN"/>
        </w:rPr>
        <w:t>：</w:t>
      </w:r>
      <w:r>
        <w:rPr>
          <w:rFonts w:hint="eastAsia" w:ascii="宋体" w:hAnsi="宋体" w:eastAsia="宋体"/>
          <w:color w:val="auto"/>
          <w:sz w:val="24"/>
          <w:szCs w:val="24"/>
          <w:highlight w:val="none"/>
          <w:lang w:val="en-US" w:eastAsia="zh-CN"/>
        </w:rPr>
        <w:t>代理项目为</w:t>
      </w:r>
      <w:r>
        <w:rPr>
          <w:rFonts w:hint="eastAsia" w:ascii="宋体" w:hAnsi="宋体" w:eastAsia="宋体"/>
          <w:color w:val="auto"/>
          <w:sz w:val="24"/>
          <w:szCs w:val="24"/>
          <w:highlight w:val="none"/>
          <w:lang w:val="zh-CN" w:eastAsia="zh-CN"/>
        </w:rPr>
        <w:t>四川铁道职业学院</w:t>
      </w:r>
      <w:r>
        <w:rPr>
          <w:rFonts w:hint="eastAsia" w:ascii="宋体" w:hAnsi="宋体" w:eastAsia="宋体"/>
          <w:color w:val="auto"/>
          <w:sz w:val="24"/>
          <w:szCs w:val="24"/>
          <w:highlight w:val="none"/>
          <w:lang w:val="en-US" w:eastAsia="zh-CN"/>
        </w:rPr>
        <w:t>9号学生宿舍建设项目。项目总建筑面积11877平方米，共设学生宿舍326间，配套建设道路及场地铺装，绿地及室外管线等附属设施。主要开展施工、监理、设计、地勘、全过程造价咨询等项目的招标代理工作。</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en-US" w:eastAsia="zh-CN"/>
        </w:rPr>
        <w:t>4.项目</w:t>
      </w:r>
      <w:r>
        <w:rPr>
          <w:rFonts w:hint="eastAsia" w:ascii="宋体" w:hAnsi="宋体" w:eastAsia="宋体"/>
          <w:color w:val="auto"/>
          <w:sz w:val="24"/>
          <w:szCs w:val="24"/>
          <w:highlight w:val="none"/>
          <w:lang w:val="zh-CN"/>
        </w:rPr>
        <w:t>计划开工时间：</w:t>
      </w:r>
      <w:r>
        <w:rPr>
          <w:rFonts w:hint="eastAsia" w:ascii="宋体" w:hAnsi="宋体" w:eastAsia="宋体"/>
          <w:color w:val="auto"/>
          <w:sz w:val="24"/>
          <w:szCs w:val="24"/>
          <w:highlight w:val="none"/>
          <w:lang w:val="en-US" w:eastAsia="zh-CN"/>
        </w:rPr>
        <w:t>2024</w:t>
      </w:r>
      <w:r>
        <w:rPr>
          <w:rFonts w:hint="eastAsia" w:ascii="宋体" w:hAnsi="宋体" w:eastAsia="宋体"/>
          <w:color w:val="auto"/>
          <w:sz w:val="24"/>
          <w:szCs w:val="24"/>
          <w:highlight w:val="none"/>
          <w:lang w:val="zh-CN"/>
        </w:rPr>
        <w:t>年</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lang w:val="zh-CN"/>
        </w:rPr>
        <w:t>月</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val="zh-CN"/>
        </w:rPr>
        <w:t>项目总投资：</w:t>
      </w:r>
      <w:r>
        <w:rPr>
          <w:rFonts w:hint="eastAsia" w:ascii="宋体" w:hAnsi="宋体" w:eastAsia="宋体"/>
          <w:color w:val="auto"/>
          <w:sz w:val="24"/>
          <w:szCs w:val="24"/>
          <w:highlight w:val="none"/>
          <w:lang w:val="en-US" w:eastAsia="zh-CN"/>
        </w:rPr>
        <w:t>5563</w:t>
      </w:r>
      <w:r>
        <w:rPr>
          <w:rFonts w:hint="eastAsia" w:ascii="宋体" w:hAnsi="宋体" w:eastAsia="宋体"/>
          <w:color w:val="auto"/>
          <w:sz w:val="24"/>
          <w:szCs w:val="24"/>
          <w:highlight w:val="none"/>
          <w:lang w:val="zh-CN"/>
        </w:rPr>
        <w:t>万元</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lang w:val="zh-CN"/>
        </w:rPr>
        <w:t>项目资金来源：</w:t>
      </w:r>
      <w:r>
        <w:rPr>
          <w:rFonts w:hint="eastAsia" w:ascii="宋体" w:hAnsi="宋体" w:eastAsia="宋体"/>
          <w:color w:val="auto"/>
          <w:sz w:val="24"/>
          <w:szCs w:val="24"/>
          <w:highlight w:val="none"/>
          <w:lang w:val="en-US" w:eastAsia="zh-CN"/>
        </w:rPr>
        <w:t xml:space="preserve"> 拟争取上级资金支持，不足部分由单位自筹    </w:t>
      </w:r>
    </w:p>
    <w:p>
      <w:pPr>
        <w:spacing w:line="500" w:lineRule="exact"/>
        <w:jc w:val="left"/>
        <w:rPr>
          <w:rFonts w:hint="eastAsia" w:ascii="宋体" w:hAnsi="宋体" w:eastAsia="宋体" w:cs="仿宋"/>
          <w:b/>
          <w:bCs/>
          <w:color w:val="auto"/>
          <w:sz w:val="28"/>
          <w:szCs w:val="24"/>
          <w:highlight w:val="none"/>
          <w:lang w:val="zh-CN"/>
        </w:rPr>
      </w:pPr>
      <w:r>
        <w:rPr>
          <w:rFonts w:hint="eastAsia" w:ascii="宋体" w:hAnsi="宋体" w:eastAsia="宋体" w:cs="仿宋"/>
          <w:b/>
          <w:bCs/>
          <w:color w:val="auto"/>
          <w:sz w:val="28"/>
          <w:szCs w:val="24"/>
          <w:highlight w:val="none"/>
          <w:lang w:val="en-US" w:eastAsia="zh-CN"/>
        </w:rPr>
        <w:t>二、</w:t>
      </w:r>
      <w:r>
        <w:rPr>
          <w:rFonts w:hint="eastAsia" w:ascii="宋体" w:hAnsi="宋体" w:eastAsia="宋体" w:cs="仿宋"/>
          <w:b/>
          <w:bCs/>
          <w:color w:val="auto"/>
          <w:sz w:val="28"/>
          <w:szCs w:val="24"/>
          <w:highlight w:val="none"/>
          <w:lang w:val="zh-CN"/>
        </w:rPr>
        <w:t>服务要求</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en-US" w:eastAsia="zh-CN"/>
        </w:rPr>
        <w:t>招标代理机构</w:t>
      </w:r>
      <w:r>
        <w:rPr>
          <w:rFonts w:hint="eastAsia" w:ascii="宋体" w:hAnsi="宋体" w:eastAsia="宋体"/>
          <w:color w:val="auto"/>
          <w:sz w:val="24"/>
          <w:szCs w:val="24"/>
          <w:highlight w:val="none"/>
          <w:lang w:val="zh-CN" w:eastAsia="zh-CN"/>
        </w:rPr>
        <w:t>在下列授权范围内从事招标代理工作：</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（一）拟订招标方案，向招标人提供招标前期咨询；</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（二）发布（发送）有关招标信息；</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（三）按规定编制并发售招标文件（资格预审文件）及补遗；</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（四）组织投标人踏勘现场、答疑；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（五）组织开标活动，做好评标（评审）的服务和后勤工作；</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（六）协助招标人组建评标委员会、定标，协助评标（评审）委员会编制评标报告（资格预审报告）；</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（七）办理中标候选人公示；</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（八）受招标人委托向中标人发出中标通知书、向未中标的投标人发出中标结果通知书以及尽其他通知义务；</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（九）草拟承包合同，协调合同的签订；</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（十）完成招标投标情况的所有备案手续；</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（十一）协助招标人处理投标人和其他利害关系人提出的异议；</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（十二）做好整个招标投标过程的服务和协调工作。</w:t>
      </w:r>
    </w:p>
    <w:p>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（一）履约时间：自合同签订之日起，至</w:t>
      </w:r>
      <w:r>
        <w:rPr>
          <w:rFonts w:hint="eastAsia" w:ascii="宋体" w:hAnsi="宋体" w:eastAsia="宋体"/>
          <w:color w:val="auto"/>
          <w:sz w:val="24"/>
          <w:szCs w:val="24"/>
          <w:highlight w:val="none"/>
          <w:lang w:val="en-US" w:eastAsia="zh-CN"/>
        </w:rPr>
        <w:t>招标代理机构</w:t>
      </w:r>
      <w:r>
        <w:rPr>
          <w:rFonts w:hint="eastAsia" w:ascii="宋体" w:hAnsi="宋体" w:eastAsia="宋体"/>
          <w:color w:val="auto"/>
          <w:sz w:val="24"/>
          <w:szCs w:val="24"/>
          <w:highlight w:val="none"/>
        </w:rPr>
        <w:t>全面完成本合同委托代理范围内的事项止。</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）最高限价及报价：</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招标代理费报价</w:t>
      </w:r>
      <w:r>
        <w:rPr>
          <w:rFonts w:hint="eastAsia" w:ascii="宋体" w:hAnsi="宋体" w:eastAsia="宋体"/>
          <w:color w:val="auto"/>
          <w:sz w:val="24"/>
          <w:szCs w:val="24"/>
          <w:highlight w:val="none"/>
          <w:lang w:val="en-US" w:eastAsia="zh-CN"/>
        </w:rPr>
        <w:t>不得高于</w:t>
      </w:r>
      <w:r>
        <w:rPr>
          <w:rFonts w:hint="eastAsia" w:ascii="宋体" w:hAnsi="宋体" w:eastAsia="宋体"/>
          <w:color w:val="auto"/>
          <w:sz w:val="24"/>
          <w:szCs w:val="24"/>
          <w:highlight w:val="none"/>
        </w:rPr>
        <w:t>原国家计委“计价格〔2002〕1980号”文件</w:t>
      </w:r>
      <w:r>
        <w:rPr>
          <w:rFonts w:hint="eastAsia" w:ascii="宋体" w:hAnsi="宋体" w:eastAsia="宋体"/>
          <w:color w:val="auto"/>
          <w:sz w:val="24"/>
          <w:szCs w:val="24"/>
          <w:highlight w:val="none"/>
          <w:lang w:val="en-US" w:eastAsia="zh-CN"/>
        </w:rPr>
        <w:t>标准</w:t>
      </w:r>
      <w:r>
        <w:rPr>
          <w:rFonts w:hint="eastAsia" w:ascii="宋体" w:hAnsi="宋体" w:eastAsia="宋体"/>
          <w:color w:val="auto"/>
          <w:sz w:val="24"/>
          <w:szCs w:val="24"/>
          <w:highlight w:val="none"/>
          <w:lang w:eastAsia="zh-CN"/>
        </w:rPr>
        <w:t>。</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招标代理机构</w:t>
      </w:r>
      <w:r>
        <w:rPr>
          <w:rFonts w:hint="eastAsia" w:ascii="宋体" w:hAnsi="宋体" w:eastAsia="宋体"/>
          <w:color w:val="auto"/>
          <w:sz w:val="24"/>
          <w:szCs w:val="24"/>
          <w:highlight w:val="none"/>
          <w:lang w:eastAsia="zh-CN"/>
        </w:rPr>
        <w:t>按规定收取代理费用和按规定出售招标文件后，不得再要求</w:t>
      </w:r>
      <w:r>
        <w:rPr>
          <w:rFonts w:hint="eastAsia" w:ascii="宋体" w:hAnsi="宋体" w:eastAsia="宋体"/>
          <w:color w:val="auto"/>
          <w:sz w:val="24"/>
          <w:szCs w:val="24"/>
          <w:highlight w:val="none"/>
          <w:lang w:val="en-US" w:eastAsia="zh-CN"/>
        </w:rPr>
        <w:t>业主</w:t>
      </w:r>
      <w:r>
        <w:rPr>
          <w:rFonts w:hint="eastAsia" w:ascii="宋体" w:hAnsi="宋体" w:eastAsia="宋体"/>
          <w:color w:val="auto"/>
          <w:sz w:val="24"/>
          <w:szCs w:val="24"/>
          <w:highlight w:val="none"/>
          <w:lang w:eastAsia="zh-CN"/>
        </w:rPr>
        <w:t>无偿提供食宿、交通等费用或收取其他费用。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lang w:eastAsia="zh-CN"/>
        </w:rPr>
        <w:t>）代理项目招标过程中发生的下列相关费用由</w:t>
      </w:r>
      <w:r>
        <w:rPr>
          <w:rFonts w:hint="eastAsia" w:ascii="宋体" w:hAnsi="宋体" w:eastAsia="宋体"/>
          <w:color w:val="auto"/>
          <w:sz w:val="24"/>
          <w:szCs w:val="24"/>
          <w:highlight w:val="none"/>
          <w:lang w:val="en-US" w:eastAsia="zh-CN"/>
        </w:rPr>
        <w:t>招标代理机构</w:t>
      </w:r>
      <w:r>
        <w:rPr>
          <w:rFonts w:hint="eastAsia" w:ascii="宋体" w:hAnsi="宋体" w:eastAsia="宋体"/>
          <w:color w:val="auto"/>
          <w:sz w:val="24"/>
          <w:szCs w:val="24"/>
          <w:highlight w:val="none"/>
          <w:lang w:eastAsia="zh-CN"/>
        </w:rPr>
        <w:t>承担：</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1.公告（招标信息）发布费用；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2.编制招标文件（包括资格预审文件和资格预审结果）、评标报告，组织审查投标人资格，组织投标人踏勘现场并答疑，组织开标、评标、定标活动，协调合同签订等的费用；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3.评标专家的评标（评审）费用；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4.招标会务、资料、食宿、交通等费用，但</w:t>
      </w:r>
      <w:r>
        <w:rPr>
          <w:rFonts w:hint="eastAsia" w:ascii="宋体" w:hAnsi="宋体" w:eastAsia="宋体"/>
          <w:color w:val="auto"/>
          <w:sz w:val="24"/>
          <w:szCs w:val="24"/>
          <w:highlight w:val="none"/>
          <w:lang w:val="en-US" w:eastAsia="zh-CN"/>
        </w:rPr>
        <w:t>招标人工作</w:t>
      </w:r>
      <w:r>
        <w:rPr>
          <w:rFonts w:hint="eastAsia" w:ascii="宋体" w:hAnsi="宋体" w:eastAsia="宋体"/>
          <w:color w:val="auto"/>
          <w:sz w:val="24"/>
          <w:szCs w:val="24"/>
          <w:highlight w:val="none"/>
          <w:lang w:eastAsia="zh-CN"/>
        </w:rPr>
        <w:t>人员发生的费用由</w:t>
      </w:r>
      <w:r>
        <w:rPr>
          <w:rFonts w:hint="eastAsia" w:ascii="宋体" w:hAnsi="宋体" w:eastAsia="宋体"/>
          <w:color w:val="auto"/>
          <w:sz w:val="24"/>
          <w:szCs w:val="24"/>
          <w:highlight w:val="none"/>
          <w:lang w:val="en-US" w:eastAsia="zh-CN"/>
        </w:rPr>
        <w:t>招标人</w:t>
      </w:r>
      <w:r>
        <w:rPr>
          <w:rFonts w:hint="eastAsia" w:ascii="宋体" w:hAnsi="宋体" w:eastAsia="宋体"/>
          <w:color w:val="auto"/>
          <w:sz w:val="24"/>
          <w:szCs w:val="24"/>
          <w:highlight w:val="none"/>
          <w:lang w:eastAsia="zh-CN"/>
        </w:rPr>
        <w:t>自行承担；</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5.开标、评标场地费及规费，包括建设工程交易服务收费中应由招标人（发包方）支付的部分；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6.重新招标、评标的费用及招标失败后组织比选等的费用。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五</w:t>
      </w:r>
      <w:r>
        <w:rPr>
          <w:rFonts w:hint="eastAsia" w:ascii="宋体" w:hAnsi="宋体" w:eastAsia="宋体"/>
          <w:color w:val="auto"/>
          <w:sz w:val="24"/>
          <w:szCs w:val="24"/>
          <w:highlight w:val="none"/>
        </w:rPr>
        <w:t>）付款方式：由招标代理机构向中标供应商收取。招标代理服务费在招标人与中标的投标人签订</w:t>
      </w:r>
      <w:r>
        <w:rPr>
          <w:rFonts w:hint="eastAsia" w:ascii="宋体" w:hAnsi="宋体" w:eastAsia="宋体"/>
          <w:color w:val="auto"/>
          <w:sz w:val="24"/>
          <w:szCs w:val="24"/>
          <w:highlight w:val="none"/>
          <w:lang w:val="en-US" w:eastAsia="zh-CN"/>
        </w:rPr>
        <w:t>合同</w:t>
      </w:r>
      <w:r>
        <w:rPr>
          <w:rFonts w:hint="eastAsia" w:ascii="宋体" w:hAnsi="宋体" w:eastAsia="宋体"/>
          <w:color w:val="auto"/>
          <w:sz w:val="24"/>
          <w:szCs w:val="24"/>
          <w:highlight w:val="none"/>
        </w:rPr>
        <w:t>并按规定备案后一次性付清。</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zh-CN" w:eastAsia="zh-CN"/>
        </w:rPr>
        <w:t>为完成</w:t>
      </w:r>
      <w:r>
        <w:rPr>
          <w:rFonts w:hint="eastAsia" w:ascii="宋体" w:hAnsi="宋体" w:eastAsia="宋体"/>
          <w:color w:val="auto"/>
          <w:sz w:val="24"/>
          <w:szCs w:val="24"/>
          <w:highlight w:val="none"/>
          <w:lang w:val="en-US" w:eastAsia="zh-CN"/>
        </w:rPr>
        <w:t>招标人</w:t>
      </w:r>
      <w:r>
        <w:rPr>
          <w:rFonts w:hint="eastAsia" w:ascii="宋体" w:hAnsi="宋体" w:eastAsia="宋体"/>
          <w:color w:val="auto"/>
          <w:sz w:val="24"/>
          <w:szCs w:val="24"/>
          <w:highlight w:val="none"/>
          <w:lang w:val="zh-CN" w:eastAsia="zh-CN"/>
        </w:rPr>
        <w:t>委托的招标代理业务，</w:t>
      </w:r>
      <w:r>
        <w:rPr>
          <w:rFonts w:hint="eastAsia" w:ascii="宋体" w:hAnsi="宋体" w:eastAsia="宋体"/>
          <w:color w:val="auto"/>
          <w:sz w:val="24"/>
          <w:szCs w:val="24"/>
          <w:highlight w:val="none"/>
          <w:lang w:val="en-US" w:eastAsia="zh-CN"/>
        </w:rPr>
        <w:t>招标代理机构</w:t>
      </w:r>
      <w:r>
        <w:rPr>
          <w:rFonts w:hint="eastAsia" w:ascii="宋体" w:hAnsi="宋体" w:eastAsia="宋体"/>
          <w:color w:val="auto"/>
          <w:sz w:val="24"/>
          <w:szCs w:val="24"/>
          <w:highlight w:val="none"/>
          <w:lang w:val="zh-CN" w:eastAsia="zh-CN"/>
        </w:rPr>
        <w:t>应委派有足够经验的专职技术经济人员担任项目负责人，及委派两名以上专职技术人员到本项目从事招标代理工作。</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p>
    <w:p>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2"/>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审查比选申请文件是否符合比选文件要求，并作出评价；</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要求参加申请人对比选申请文件有关事项作出解释或者澄清；</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推荐中选候选人名单</w:t>
      </w:r>
      <w:bookmarkStart w:id="26" w:name="_Toc217446098"/>
      <w:r>
        <w:rPr>
          <w:rFonts w:hint="eastAsia" w:ascii="宋体" w:hAnsi="宋体" w:eastAsia="宋体"/>
          <w:color w:val="auto"/>
          <w:sz w:val="24"/>
          <w:szCs w:val="24"/>
          <w:highlight w:val="none"/>
        </w:rPr>
        <w:t>。</w:t>
      </w:r>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pPr>
        <w:wordWrap/>
        <w:topLinePunct w:val="0"/>
        <w:bidi w:val="0"/>
        <w:spacing w:line="360" w:lineRule="auto"/>
        <w:ind w:firstLine="705" w:firstLineChars="196"/>
        <w:textAlignment w:val="auto"/>
        <w:rPr>
          <w:rFonts w:ascii="宋体" w:hAnsi="宋体" w:eastAsia="宋体"/>
          <w:bCs/>
          <w:color w:val="auto"/>
          <w:sz w:val="36"/>
          <w:szCs w:val="36"/>
          <w:highlight w:val="none"/>
        </w:rPr>
      </w:pP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3"/>
        <w:tblpPr w:leftFromText="180" w:rightFromText="180" w:vertAnchor="text" w:horzAnchor="page" w:tblpX="1755" w:tblpY="175"/>
        <w:tblOverlap w:val="never"/>
        <w:tblW w:w="90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6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序号</w:t>
            </w:r>
          </w:p>
        </w:tc>
        <w:tc>
          <w:tcPr>
            <w:tcW w:w="143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评分因素及权重</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分值</w:t>
            </w:r>
          </w:p>
        </w:tc>
        <w:tc>
          <w:tcPr>
            <w:tcW w:w="548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评分标准</w:t>
            </w:r>
          </w:p>
        </w:tc>
        <w:tc>
          <w:tcPr>
            <w:tcW w:w="681"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1</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rPr>
              <w:t>报价</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lang w:val="en-US" w:eastAsia="zh-CN"/>
              </w:rPr>
              <w:t>25</w:t>
            </w:r>
            <w:r>
              <w:rPr>
                <w:rFonts w:hint="eastAsia" w:ascii="宋体" w:hAnsi="宋体" w:eastAsia="宋体" w:cs="宋体"/>
                <w:b w:val="0"/>
                <w:bCs w:val="0"/>
                <w:color w:val="auto"/>
                <w:spacing w:val="0"/>
                <w:kern w:val="2"/>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参照《国家计委关于印发&lt;招标代理服务费收费管理暂行办法&gt;》（计价格〔2002〕1980号）和国家发展和改革委员会办公厅《关于招标代理服务收费有关问题的通知》（发改办价格〔2003〕857号）规定的招标代理服务收费标准，报价每下浮1%得</w:t>
            </w:r>
            <w:r>
              <w:rPr>
                <w:rFonts w:hint="eastAsia" w:ascii="宋体" w:hAnsi="宋体" w:eastAsia="宋体" w:cs="宋体"/>
                <w:b w:val="0"/>
                <w:bCs w:val="0"/>
                <w:color w:val="auto"/>
                <w:spacing w:val="0"/>
                <w:position w:val="0"/>
                <w:sz w:val="24"/>
                <w:szCs w:val="24"/>
                <w:highlight w:val="none"/>
                <w:lang w:val="en-US" w:eastAsia="zh-CN"/>
              </w:rPr>
              <w:t>1</w:t>
            </w:r>
            <w:r>
              <w:rPr>
                <w:rFonts w:hint="eastAsia" w:ascii="宋体" w:hAnsi="宋体" w:eastAsia="宋体" w:cs="宋体"/>
                <w:b w:val="0"/>
                <w:bCs w:val="0"/>
                <w:color w:val="auto"/>
                <w:spacing w:val="0"/>
                <w:position w:val="0"/>
                <w:sz w:val="24"/>
                <w:szCs w:val="24"/>
                <w:highlight w:val="none"/>
              </w:rPr>
              <w:t>分，本项最多得</w:t>
            </w:r>
            <w:r>
              <w:rPr>
                <w:rFonts w:hint="eastAsia" w:ascii="宋体" w:hAnsi="宋体" w:eastAsia="宋体" w:cs="宋体"/>
                <w:b w:val="0"/>
                <w:bCs w:val="0"/>
                <w:color w:val="auto"/>
                <w:spacing w:val="0"/>
                <w:position w:val="0"/>
                <w:sz w:val="24"/>
                <w:szCs w:val="24"/>
                <w:highlight w:val="none"/>
                <w:lang w:val="en-US" w:eastAsia="zh-CN"/>
              </w:rPr>
              <w:t>25</w:t>
            </w:r>
            <w:r>
              <w:rPr>
                <w:rFonts w:hint="eastAsia" w:ascii="宋体" w:hAnsi="宋体" w:eastAsia="宋体" w:cs="宋体"/>
                <w:b w:val="0"/>
                <w:bCs w:val="0"/>
                <w:color w:val="auto"/>
                <w:spacing w:val="0"/>
                <w:position w:val="0"/>
                <w:sz w:val="24"/>
                <w:szCs w:val="24"/>
                <w:highlight w:val="none"/>
              </w:rPr>
              <w:t>分。</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napToGrid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2</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rPr>
              <w:t>人员配备</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lang w:val="en-US" w:eastAsia="zh-CN"/>
              </w:rPr>
              <w:t>20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项目负责人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 1 \* GB3 \* MERGEFORMAT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①</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t>具有一级注册造价工程师</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分，具有高级职称（应附职称证、任职资格文件）得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分，具有评标专家资格得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最多得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 2 \* GB3 \* MERGEFORMAT </w:instrText>
            </w:r>
            <w:r>
              <w:rPr>
                <w:rFonts w:hint="eastAsia" w:ascii="宋体" w:hAnsi="宋体" w:eastAsia="宋体"/>
                <w:color w:val="auto"/>
                <w:sz w:val="24"/>
                <w:szCs w:val="24"/>
                <w:highlight w:val="none"/>
              </w:rPr>
              <w:fldChar w:fldCharType="separate"/>
            </w:r>
            <w:r>
              <w:rPr>
                <w:rFonts w:hint="eastAsia" w:ascii="宋体" w:hAnsi="宋体" w:eastAsia="宋体"/>
                <w:color w:val="auto"/>
                <w:sz w:val="24"/>
                <w:szCs w:val="24"/>
                <w:highlight w:val="none"/>
              </w:rPr>
              <w:t>②</w:t>
            </w:r>
            <w:r>
              <w:rPr>
                <w:rFonts w:hint="eastAsia" w:ascii="宋体" w:hAnsi="宋体" w:eastAsia="宋体"/>
                <w:color w:val="auto"/>
                <w:sz w:val="24"/>
                <w:szCs w:val="24"/>
                <w:highlight w:val="none"/>
              </w:rPr>
              <w:fldChar w:fldCharType="end"/>
            </w:r>
            <w:r>
              <w:rPr>
                <w:rFonts w:hint="eastAsia" w:ascii="宋体" w:hAnsi="宋体" w:eastAsia="宋体"/>
                <w:color w:val="auto"/>
                <w:sz w:val="24"/>
                <w:szCs w:val="24"/>
                <w:highlight w:val="none"/>
              </w:rPr>
              <w:t>项目负责人202</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年至今有</w:t>
            </w:r>
            <w:r>
              <w:rPr>
                <w:rFonts w:hint="eastAsia" w:ascii="宋体" w:hAnsi="宋体" w:eastAsia="宋体"/>
                <w:color w:val="auto"/>
                <w:sz w:val="24"/>
                <w:szCs w:val="24"/>
                <w:highlight w:val="none"/>
                <w:lang w:eastAsia="en-US"/>
              </w:rPr>
              <w:t>工程投资</w:t>
            </w:r>
            <w:r>
              <w:rPr>
                <w:rFonts w:hint="eastAsia" w:ascii="宋体" w:hAnsi="宋体" w:eastAsia="宋体"/>
                <w:color w:val="auto"/>
                <w:sz w:val="24"/>
                <w:szCs w:val="24"/>
                <w:highlight w:val="none"/>
                <w:lang w:val="en-US" w:eastAsia="zh-CN"/>
              </w:rPr>
              <w:t>5000</w:t>
            </w:r>
            <w:r>
              <w:rPr>
                <w:rFonts w:hint="eastAsia" w:ascii="宋体" w:hAnsi="宋体" w:eastAsia="宋体"/>
                <w:color w:val="auto"/>
                <w:sz w:val="24"/>
                <w:szCs w:val="24"/>
                <w:highlight w:val="none"/>
                <w:lang w:eastAsia="en-US"/>
              </w:rPr>
              <w:t>万元</w:t>
            </w:r>
            <w:r>
              <w:rPr>
                <w:rFonts w:hint="eastAsia" w:ascii="宋体" w:hAnsi="宋体" w:eastAsia="宋体"/>
                <w:color w:val="auto"/>
                <w:sz w:val="24"/>
                <w:szCs w:val="24"/>
                <w:highlight w:val="none"/>
                <w:lang w:val="en-US" w:eastAsia="zh-CN"/>
              </w:rPr>
              <w:t>及以上</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val="en-US" w:eastAsia="zh-CN"/>
              </w:rPr>
              <w:t>房屋建筑项目</w:t>
            </w:r>
            <w:r>
              <w:rPr>
                <w:rFonts w:hint="eastAsia" w:ascii="宋体" w:hAnsi="宋体" w:eastAsia="宋体"/>
                <w:color w:val="auto"/>
                <w:sz w:val="24"/>
                <w:szCs w:val="24"/>
                <w:highlight w:val="none"/>
              </w:rPr>
              <w:t>招标代理年度业绩1个得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分，每增加一个得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分，最多得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分（附合同复印件）。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技术负责人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具有一级注册造价工程师</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分，具有高级职称（应附职称证、任职资格文件）得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分，具有四川省评标专家资格得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分，最多得</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其他人员（</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项目组人员中具有四川省招标从业人员资格并具有中级及以上职称或一级造价工程师、一级注册建造师、注册监理工程师，每人得</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分，最多得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以上人员需注册在本单位，不得兼任，不得重复计分，提供人员资质证书复印件，原件备查。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提供以上人员近6个月在本单位购买的社保证明，如不需购买社保的提供相关证明。</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3</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服务方案</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pacing w:val="0"/>
                <w:position w:val="0"/>
                <w:sz w:val="24"/>
                <w:szCs w:val="24"/>
                <w:highlight w:val="none"/>
                <w:lang w:val="en-US" w:eastAsia="zh-CN"/>
              </w:rPr>
              <w:t>30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根据供应商提供的针对本项目提供的服务方案，包括但不限于（1）服务原则和服务内容；（2）人员安排及职责分工；（3）采购服务流程与规范；（4）招标方式及计划流程；（5）进度控制及工作计划；（6）采购文件编制执行及开评标方案；（7）服务方式；（8）质疑投诉处理及预防；（9）备案和归档；（10）保密措施.进行综合评比：方案包含以上每一项内容（共10点）符合项目实际情况，满足本项目要求的每一点得2分（共20分）；每缺少一项内容扣2分，每有一处描述存在缺陷的的扣1分；本项最多扣20分。（存在缺陷是指：内容不完整或不满足实际情况或前后内容互相矛盾或存在与本项目无关的内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注：不提供方案的不得分。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根据供应商提供的针对本项目提供的内部管理制度，包括但不限于（1）企业内部质量控制；（2）采购招标流程及管理制度；（3）质量审核、控制制度；（4）保密制度；（5）档案管理制度；进行综合评比：方案包含以上每一项内容（共5点）符合项目实际情况，满足本项目要求的每一点得2分（共10分）。每缺少一项内容扣2分，每有一处描述存在缺陷的的扣1分；本项最多扣10分。（存在缺陷是指：内容不完整或不满足实际情况或前后内容互相矛盾或存在与本项目无关的内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olor w:val="auto"/>
                <w:sz w:val="24"/>
                <w:szCs w:val="24"/>
                <w:highlight w:val="none"/>
                <w:lang w:val="en-US" w:eastAsia="zh-CN"/>
              </w:rPr>
              <w:t>注：不提供方案的不得分。</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4</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企业类似业绩</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1</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在满足资格条件的基础上，2021年至今有工程投资5000万元及以上的房屋建筑项目招标代理业绩1个得</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分，每增加一个得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分，最多得</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代理业绩附代理合同（提供复印件，原件备查）；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企业业绩与项目负责人业绩可以重复计算</w:t>
            </w:r>
            <w:r>
              <w:rPr>
                <w:rFonts w:hint="eastAsia" w:ascii="宋体" w:hAnsi="宋体" w:eastAsia="宋体"/>
                <w:color w:val="auto"/>
                <w:sz w:val="24"/>
                <w:szCs w:val="24"/>
                <w:highlight w:val="none"/>
                <w:lang w:eastAsia="zh-CN"/>
              </w:rPr>
              <w:t>。</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lef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企业</w:t>
            </w:r>
            <w:r>
              <w:rPr>
                <w:rFonts w:hint="eastAsia" w:ascii="宋体" w:hAnsi="宋体" w:eastAsia="宋体" w:cs="宋体"/>
                <w:b w:val="0"/>
                <w:bCs w:val="0"/>
                <w:color w:val="auto"/>
                <w:sz w:val="24"/>
                <w:szCs w:val="24"/>
                <w:highlight w:val="none"/>
                <w:lang w:eastAsia="zh-CN"/>
              </w:rPr>
              <w:t>综合实力</w:t>
            </w:r>
          </w:p>
        </w:tc>
        <w:tc>
          <w:tcPr>
            <w:tcW w:w="7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比选申请人（所有通过初步评审的比选申请人）中开标当日在成都市住建领域市场主体信用综合评价得分（招标代理企业）最高的得满分，其他比选申请人的分值按其信用综合评价得分与最高信用综合评价得分的比值乘以10计算。</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p>
            <w:pPr>
              <w:pStyle w:val="9"/>
              <w:rPr>
                <w:rFonts w:hint="eastAsia"/>
                <w:color w:val="auto"/>
              </w:rPr>
            </w:pPr>
          </w:p>
          <w:p>
            <w:pPr>
              <w:pStyle w:val="9"/>
              <w:rPr>
                <w:rFonts w:hint="eastAsia"/>
                <w:color w:val="auto"/>
              </w:rPr>
            </w:pPr>
          </w:p>
          <w:p>
            <w:pPr>
              <w:pStyle w:val="8"/>
              <w:rPr>
                <w:rFonts w:hint="eastAsia"/>
                <w:color w:val="auto"/>
              </w:rPr>
            </w:pPr>
          </w:p>
        </w:tc>
      </w:tr>
    </w:tbl>
    <w:p>
      <w:pPr>
        <w:wordWrap/>
        <w:topLinePunct w:val="0"/>
        <w:bidi w:val="0"/>
        <w:jc w:val="center"/>
        <w:textAlignment w:val="auto"/>
        <w:rPr>
          <w:rFonts w:ascii="宋体" w:hAnsi="宋体" w:eastAsia="宋体" w:cs="仿宋"/>
          <w:color w:val="auto"/>
          <w:sz w:val="24"/>
          <w:szCs w:val="24"/>
          <w:highlight w:val="none"/>
          <w:lang w:val="zh-TW" w:eastAsia="zh-TW"/>
        </w:rPr>
      </w:pPr>
    </w:p>
    <w:p>
      <w:pPr>
        <w:pStyle w:val="22"/>
        <w:wordWrap/>
        <w:topLinePunct w:val="0"/>
        <w:bidi w:val="0"/>
        <w:spacing w:after="0"/>
        <w:textAlignment w:val="auto"/>
        <w:rPr>
          <w:rFonts w:ascii="宋体" w:hAnsi="宋体" w:eastAsia="宋体" w:cs="仿宋"/>
          <w:color w:val="auto"/>
          <w:sz w:val="24"/>
          <w:szCs w:val="24"/>
          <w:highlight w:val="none"/>
          <w:lang w:val="zh-TW" w:eastAsia="zh-TW"/>
        </w:rPr>
      </w:pPr>
    </w:p>
    <w:p>
      <w:pPr>
        <w:pStyle w:val="22"/>
        <w:wordWrap/>
        <w:topLinePunct w:val="0"/>
        <w:bidi w:val="0"/>
        <w:spacing w:after="0"/>
        <w:textAlignment w:val="auto"/>
        <w:rPr>
          <w:rFonts w:ascii="宋体" w:hAnsi="宋体" w:eastAsia="宋体" w:cs="仿宋"/>
          <w:color w:val="auto"/>
          <w:sz w:val="24"/>
          <w:szCs w:val="24"/>
          <w:highlight w:val="none"/>
          <w:lang w:val="zh-TW" w:eastAsia="zh-TW"/>
        </w:rPr>
      </w:pPr>
    </w:p>
    <w:p>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2"/>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四川铁道职业学院9号学生宿舍</w:t>
      </w:r>
    </w:p>
    <w:p>
      <w:pPr>
        <w:wordWrap/>
        <w:topLinePunct w:val="0"/>
        <w:bidi w:val="0"/>
        <w:spacing w:line="360" w:lineRule="auto"/>
        <w:ind w:left="0" w:leftChars="0" w:hanging="10" w:firstLineChars="0"/>
        <w:jc w:val="center"/>
        <w:textAlignment w:val="auto"/>
        <w:rPr>
          <w:rFonts w:hint="default"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建设项目招标代理机构</w:t>
      </w:r>
    </w:p>
    <w:p>
      <w:pPr>
        <w:wordWrap/>
        <w:topLinePunct w:val="0"/>
        <w:bidi w:val="0"/>
        <w:spacing w:line="360" w:lineRule="auto"/>
        <w:ind w:firstLine="2088" w:firstLineChars="400"/>
        <w:jc w:val="both"/>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pPr>
        <w:pStyle w:val="9"/>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2"/>
          <w:szCs w:val="32"/>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spacing w:line="440" w:lineRule="exact"/>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pPr>
        <w:wordWrap/>
        <w:topLinePunct w:val="0"/>
        <w:bidi w:val="0"/>
        <w:textAlignment w:val="auto"/>
        <w:rPr>
          <w:rFonts w:hint="eastAsia" w:ascii="宋体" w:hAnsi="宋体" w:eastAsia="宋体"/>
          <w:color w:val="auto"/>
          <w:sz w:val="32"/>
          <w:highlight w:val="none"/>
        </w:rPr>
      </w:pPr>
      <w:bookmarkStart w:id="27" w:name="_Toc217446082"/>
      <w:r>
        <w:rPr>
          <w:rFonts w:hint="eastAsia" w:ascii="宋体" w:hAnsi="宋体" w:eastAsia="宋体"/>
          <w:color w:val="auto"/>
          <w:sz w:val="32"/>
          <w:highlight w:val="none"/>
        </w:rPr>
        <w:br w:type="page"/>
      </w:r>
    </w:p>
    <w:bookmarkEnd w:id="27"/>
    <w:p>
      <w:pPr>
        <w:pStyle w:val="3"/>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pPr>
        <w:pStyle w:val="3"/>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pPr>
        <w:widowControl/>
        <w:wordWrap/>
        <w:topLinePunct w:val="0"/>
        <w:bidi w:val="0"/>
        <w:spacing w:line="360" w:lineRule="atLeast"/>
        <w:jc w:val="left"/>
        <w:textAlignment w:val="auto"/>
        <w:rPr>
          <w:rFonts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pPr>
        <w:pStyle w:val="4"/>
        <w:pageBreakBefore w:val="0"/>
        <w:kinsoku/>
        <w:wordWrap/>
        <w:overflowPunct/>
        <w:topLinePunct w:val="0"/>
        <w:autoSpaceDE/>
        <w:autoSpaceDN/>
        <w:bidi w:val="0"/>
        <w:adjustRightInd/>
        <w:snapToGrid/>
        <w:spacing w:before="0" w:after="0" w:line="560" w:lineRule="exact"/>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pPr>
        <w:pStyle w:val="3"/>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pPr>
        <w:pStyle w:val="5"/>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bookmarkStart w:id="28" w:name="_Toc217446088"/>
      <w:r>
        <w:rPr>
          <w:rFonts w:hint="eastAsia" w:ascii="宋体" w:hAnsi="宋体" w:eastAsia="宋体"/>
          <w:color w:val="auto"/>
          <w:sz w:val="32"/>
          <w:highlight w:val="none"/>
        </w:rPr>
        <w:t>四、申请人基本情况表</w:t>
      </w:r>
      <w:bookmarkEnd w:id="28"/>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pPr>
              <w:wordWrap/>
              <w:topLinePunct w:val="0"/>
              <w:autoSpaceDE w:val="0"/>
              <w:autoSpaceDN w:val="0"/>
              <w:bidi w:val="0"/>
              <w:adjustRightInd w:val="0"/>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pPr>
              <w:wordWrap/>
              <w:topLinePunct w:val="0"/>
              <w:autoSpaceDE w:val="0"/>
              <w:autoSpaceDN w:val="0"/>
              <w:bidi w:val="0"/>
              <w:adjustRightInd w:val="0"/>
              <w:jc w:val="left"/>
              <w:textAlignment w:val="auto"/>
              <w:rPr>
                <w:rFonts w:ascii="宋体" w:hAnsi="宋体" w:eastAsia="宋体"/>
                <w:color w:val="auto"/>
                <w:szCs w:val="21"/>
                <w:highlight w:val="none"/>
              </w:rPr>
            </w:pPr>
          </w:p>
        </w:tc>
      </w:tr>
    </w:tbl>
    <w:p>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9"/>
      <w:r>
        <w:rPr>
          <w:rFonts w:hint="eastAsia" w:ascii="宋体" w:hAnsi="宋体" w:eastAsia="宋体"/>
          <w:color w:val="auto"/>
          <w:sz w:val="32"/>
          <w:highlight w:val="none"/>
        </w:rPr>
        <w:t>五、申请人类似项目业绩一览表</w:t>
      </w:r>
      <w:bookmarkEnd w:id="29"/>
    </w:p>
    <w:p>
      <w:pPr>
        <w:wordWrap/>
        <w:topLinePunct w:val="0"/>
        <w:bidi w:val="0"/>
        <w:spacing w:line="400" w:lineRule="exact"/>
        <w:textAlignment w:val="auto"/>
        <w:rPr>
          <w:rFonts w:ascii="宋体" w:hAnsi="宋体" w:eastAsia="宋体" w:cs="Arial"/>
          <w:color w:val="auto"/>
          <w:sz w:val="24"/>
          <w:highlight w:val="none"/>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bl>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pPr>
        <w:wordWrap/>
        <w:topLinePunct w:val="0"/>
        <w:bidi w:val="0"/>
        <w:textAlignment w:val="auto"/>
        <w:rPr>
          <w:rFonts w:ascii="宋体" w:hAnsi="宋体" w:eastAsia="宋体"/>
          <w:color w:val="auto"/>
          <w:highlight w:val="none"/>
        </w:rPr>
      </w:pPr>
    </w:p>
    <w:tbl>
      <w:tblPr>
        <w:tblStyle w:val="2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ind w:firstLine="482" w:firstLineChars="200"/>
        <w:textAlignment w:val="auto"/>
        <w:rPr>
          <w:rFonts w:ascii="宋体" w:hAnsi="宋体" w:eastAsia="宋体"/>
          <w:b/>
          <w:color w:val="auto"/>
          <w:sz w:val="24"/>
          <w:highlight w:val="none"/>
        </w:rPr>
      </w:pPr>
    </w:p>
    <w:p>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3"/>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pPr>
        <w:pStyle w:val="3"/>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ascii="宋体" w:hAnsi="宋体" w:eastAsia="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项目名称</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投标</w:t>
            </w:r>
            <w:r>
              <w:rPr>
                <w:rFonts w:hint="eastAsia" w:ascii="宋体" w:hAnsi="宋体" w:eastAsia="宋体" w:cs="仿宋"/>
                <w:color w:val="auto"/>
                <w:sz w:val="24"/>
                <w:szCs w:val="24"/>
                <w:highlight w:val="none"/>
                <w:lang w:val="en-US" w:eastAsia="zh-CN"/>
              </w:rPr>
              <w:t>报</w:t>
            </w:r>
            <w:r>
              <w:rPr>
                <w:rFonts w:hint="eastAsia" w:ascii="宋体" w:hAnsi="宋体" w:eastAsia="宋体" w:cs="仿宋"/>
                <w:color w:val="auto"/>
                <w:sz w:val="24"/>
                <w:szCs w:val="24"/>
                <w:highlight w:val="none"/>
              </w:rPr>
              <w:t>价</w:t>
            </w:r>
          </w:p>
        </w:tc>
        <w:tc>
          <w:tcPr>
            <w:tcW w:w="6840" w:type="dxa"/>
            <w:vAlign w:val="center"/>
          </w:tcPr>
          <w:p>
            <w:pPr>
              <w:spacing w:after="156" w:afterLines="50" w:line="500" w:lineRule="exact"/>
              <w:ind w:firstLine="480" w:firstLineChars="200"/>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1.我方自愿按照招标文件规定的各项要求向采购人提供所需服务，投标报价如下</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以《招标代理服务收费管理暂行办法》（计价格[2002]1980号）规定收费标准的：</w:t>
            </w:r>
            <w:r>
              <w:rPr>
                <w:rFonts w:hint="eastAsia" w:ascii="宋体" w:hAnsi="宋体" w:eastAsia="宋体" w:cs="仿宋"/>
                <w:color w:val="auto"/>
                <w:sz w:val="24"/>
                <w:szCs w:val="24"/>
                <w:highlight w:val="none"/>
                <w:u w:val="single"/>
              </w:rPr>
              <w:t xml:space="preserve">    </w:t>
            </w:r>
            <w:r>
              <w:rPr>
                <w:rFonts w:hint="eastAsia" w:ascii="宋体" w:hAnsi="宋体" w:eastAsia="宋体" w:cs="仿宋"/>
                <w:color w:val="auto"/>
                <w:sz w:val="24"/>
                <w:szCs w:val="24"/>
                <w:highlight w:val="none"/>
              </w:rPr>
              <w:t>%</w:t>
            </w:r>
            <w:r>
              <w:rPr>
                <w:rFonts w:hint="eastAsia" w:ascii="宋体" w:hAnsi="宋体" w:eastAsia="宋体" w:cs="仿宋"/>
                <w:color w:val="auto"/>
                <w:sz w:val="24"/>
                <w:szCs w:val="24"/>
                <w:highlight w:val="none"/>
                <w:lang w:eastAsia="zh-CN"/>
              </w:rPr>
              <w:t>。</w:t>
            </w:r>
          </w:p>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服务</w:t>
            </w:r>
            <w:r>
              <w:rPr>
                <w:rFonts w:hint="eastAsia" w:ascii="宋体" w:hAnsi="宋体" w:eastAsia="宋体" w:cs="仿宋"/>
                <w:color w:val="auto"/>
                <w:sz w:val="24"/>
                <w:szCs w:val="24"/>
                <w:highlight w:val="none"/>
              </w:rPr>
              <w:t>周期</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备    注</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bl>
    <w:p>
      <w:pPr>
        <w:wordWrap/>
        <w:topLinePunct w:val="0"/>
        <w:bidi w:val="0"/>
        <w:textAlignment w:val="auto"/>
        <w:rPr>
          <w:rFonts w:ascii="宋体" w:hAnsi="宋体" w:eastAsia="宋体"/>
          <w:color w:val="auto"/>
          <w:highlight w:val="none"/>
        </w:rPr>
      </w:pPr>
    </w:p>
    <w:p>
      <w:pPr>
        <w:pStyle w:val="22"/>
        <w:wordWrap/>
        <w:topLinePunct w:val="0"/>
        <w:bidi w:val="0"/>
        <w:spacing w:after="0"/>
        <w:textAlignment w:val="auto"/>
        <w:rPr>
          <w:rFonts w:ascii="宋体" w:hAnsi="宋体" w:eastAsia="宋体"/>
          <w:color w:val="auto"/>
          <w:highlight w:val="none"/>
        </w:rPr>
      </w:pPr>
    </w:p>
    <w:p>
      <w:pPr>
        <w:pStyle w:val="22"/>
        <w:wordWrap/>
        <w:topLinePunct w:val="0"/>
        <w:bidi w:val="0"/>
        <w:spacing w:after="0"/>
        <w:textAlignment w:val="auto"/>
        <w:rPr>
          <w:rFonts w:ascii="宋体" w:hAnsi="宋体" w:eastAsia="宋体"/>
          <w:color w:val="auto"/>
          <w:highlight w:val="none"/>
        </w:rPr>
      </w:pPr>
    </w:p>
    <w:p>
      <w:pPr>
        <w:pStyle w:val="22"/>
        <w:wordWrap/>
        <w:topLinePunct w:val="0"/>
        <w:bidi w:val="0"/>
        <w:spacing w:after="0"/>
        <w:textAlignment w:val="auto"/>
        <w:rPr>
          <w:rFonts w:ascii="宋体" w:hAnsi="宋体" w:eastAsia="宋体"/>
          <w:color w:val="auto"/>
          <w:highlight w:val="none"/>
        </w:rPr>
      </w:pPr>
    </w:p>
    <w:p>
      <w:pPr>
        <w:pStyle w:val="22"/>
        <w:wordWrap/>
        <w:topLinePunct w:val="0"/>
        <w:bidi w:val="0"/>
        <w:spacing w:after="0"/>
        <w:textAlignment w:val="auto"/>
        <w:rPr>
          <w:rFonts w:ascii="宋体" w:hAnsi="宋体" w:eastAsia="宋体"/>
          <w:color w:val="auto"/>
          <w:highlight w:val="none"/>
        </w:rPr>
      </w:pPr>
    </w:p>
    <w:p>
      <w:pPr>
        <w:pStyle w:val="22"/>
        <w:wordWrap/>
        <w:topLinePunct w:val="0"/>
        <w:bidi w:val="0"/>
        <w:spacing w:after="0"/>
        <w:textAlignment w:val="auto"/>
        <w:rPr>
          <w:rFonts w:ascii="宋体" w:hAnsi="宋体" w:eastAsia="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pStyle w:val="9"/>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pPr>
        <w:pStyle w:val="3"/>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pPr>
        <w:wordWrap/>
        <w:topLinePunct w:val="0"/>
        <w:bidi w:val="0"/>
        <w:ind w:firstLine="562" w:firstLineChars="200"/>
        <w:textAlignment w:val="auto"/>
        <w:rPr>
          <w:rFonts w:ascii="宋体" w:hAnsi="宋体" w:eastAsia="宋体"/>
          <w:b/>
          <w:color w:val="auto"/>
          <w:sz w:val="28"/>
          <w:szCs w:val="28"/>
          <w:highlight w:val="none"/>
        </w:rPr>
      </w:pPr>
    </w:p>
    <w:p>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pPr>
        <w:wordWrap/>
        <w:topLinePunct w:val="0"/>
        <w:bidi w:val="0"/>
        <w:jc w:val="center"/>
        <w:textAlignment w:val="auto"/>
        <w:rPr>
          <w:rFonts w:ascii="宋体" w:hAnsi="宋体" w:eastAsia="宋体"/>
          <w:b w:val="0"/>
          <w:bCs/>
          <w:color w:val="auto"/>
          <w:sz w:val="28"/>
          <w:szCs w:val="28"/>
          <w:highlight w:val="none"/>
        </w:rPr>
      </w:pPr>
    </w:p>
    <w:p>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outlineLvl w:val="0"/>
        <w:rPr>
          <w:rFonts w:hint="eastAsia"/>
          <w:color w:val="auto"/>
          <w:sz w:val="30"/>
          <w:szCs w:val="30"/>
        </w:rPr>
      </w:pPr>
      <w:r>
        <w:rPr>
          <w:rFonts w:hint="eastAsia"/>
          <w:color w:val="auto"/>
          <w:sz w:val="30"/>
          <w:szCs w:val="30"/>
        </w:rPr>
        <w:t>CH—01—0501</w:t>
      </w:r>
    </w:p>
    <w:p>
      <w:pPr>
        <w:rPr>
          <w:rFonts w:hint="eastAsia"/>
          <w:color w:val="auto"/>
          <w:sz w:val="28"/>
        </w:rPr>
      </w:pPr>
    </w:p>
    <w:p>
      <w:pPr>
        <w:rPr>
          <w:rFonts w:hint="eastAsia"/>
          <w:color w:val="auto"/>
          <w:sz w:val="28"/>
        </w:rPr>
      </w:pPr>
    </w:p>
    <w:p>
      <w:pPr>
        <w:spacing w:line="240" w:lineRule="exact"/>
        <w:rPr>
          <w:rFonts w:hint="eastAsia"/>
          <w:color w:val="auto"/>
          <w:sz w:val="28"/>
        </w:rPr>
      </w:pPr>
    </w:p>
    <w:p>
      <w:pPr>
        <w:spacing w:before="312" w:beforeLines="100" w:after="312" w:afterLines="100" w:line="480" w:lineRule="auto"/>
        <w:jc w:val="center"/>
        <w:rPr>
          <w:rFonts w:hint="eastAsia" w:eastAsia="黑体"/>
          <w:b/>
          <w:bCs/>
          <w:color w:val="auto"/>
          <w:spacing w:val="20"/>
          <w:sz w:val="48"/>
        </w:rPr>
      </w:pPr>
      <w:r>
        <w:rPr>
          <w:rFonts w:hint="eastAsia" w:eastAsia="黑体"/>
          <w:b/>
          <w:bCs/>
          <w:color w:val="auto"/>
          <w:spacing w:val="20"/>
          <w:sz w:val="48"/>
        </w:rPr>
        <w:t>四川省国家投资工程建设项目</w:t>
      </w:r>
    </w:p>
    <w:p>
      <w:pPr>
        <w:spacing w:before="312" w:beforeLines="100" w:after="312" w:afterLines="100" w:line="480" w:lineRule="auto"/>
        <w:jc w:val="center"/>
        <w:rPr>
          <w:rFonts w:hint="eastAsia" w:eastAsia="黑体"/>
          <w:color w:val="auto"/>
          <w:sz w:val="72"/>
        </w:rPr>
      </w:pPr>
      <w:r>
        <w:rPr>
          <w:rFonts w:hint="eastAsia" w:eastAsia="黑体"/>
          <w:b/>
          <w:bCs/>
          <w:color w:val="auto"/>
          <w:sz w:val="72"/>
        </w:rPr>
        <w:t>委托招标代理合同</w:t>
      </w:r>
    </w:p>
    <w:p>
      <w:pPr>
        <w:jc w:val="center"/>
        <w:rPr>
          <w:rFonts w:hint="eastAsia"/>
          <w:b/>
          <w:bCs/>
          <w:color w:val="auto"/>
          <w:sz w:val="44"/>
        </w:rPr>
      </w:pPr>
      <w:r>
        <w:rPr>
          <w:rFonts w:hint="eastAsia"/>
          <w:b/>
          <w:bCs/>
          <w:color w:val="auto"/>
          <w:sz w:val="44"/>
        </w:rPr>
        <w:t>（规范文本）</w:t>
      </w: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jc w:val="center"/>
        <w:rPr>
          <w:rFonts w:hint="eastAsia"/>
          <w:b/>
          <w:bCs/>
          <w:color w:val="auto"/>
          <w:sz w:val="32"/>
        </w:rPr>
      </w:pPr>
    </w:p>
    <w:p>
      <w:pPr>
        <w:spacing w:line="320" w:lineRule="exact"/>
        <w:ind w:firstLine="2187" w:firstLineChars="675"/>
        <w:rPr>
          <w:rFonts w:hint="eastAsia"/>
          <w:color w:val="auto"/>
          <w:spacing w:val="2"/>
          <w:sz w:val="32"/>
        </w:rPr>
      </w:pPr>
      <w:r>
        <w:rPr>
          <w:rFonts w:hint="eastAsia"/>
          <w:color w:val="auto"/>
          <w:spacing w:val="2"/>
          <w:sz w:val="32"/>
        </w:rPr>
        <w:t>四川省发展和改革委员会</w:t>
      </w:r>
    </w:p>
    <w:p>
      <w:pPr>
        <w:spacing w:line="320" w:lineRule="exact"/>
        <w:ind w:firstLine="2160" w:firstLineChars="675"/>
        <w:rPr>
          <w:rFonts w:hint="eastAsia"/>
          <w:color w:val="auto"/>
          <w:sz w:val="32"/>
        </w:rPr>
      </w:pPr>
      <w:r>
        <w:rPr>
          <w:rFonts w:hint="eastAsia"/>
          <w:color w:val="auto"/>
          <w:sz w:val="32"/>
        </w:rPr>
        <w:t xml:space="preserve">                          制 定</w:t>
      </w:r>
    </w:p>
    <w:p>
      <w:pPr>
        <w:spacing w:line="320" w:lineRule="exact"/>
        <w:ind w:firstLine="2184" w:firstLineChars="600"/>
        <w:rPr>
          <w:color w:val="auto"/>
          <w:spacing w:val="22"/>
          <w:sz w:val="32"/>
        </w:rPr>
      </w:pPr>
      <w:r>
        <w:rPr>
          <w:rFonts w:hint="eastAsia"/>
          <w:color w:val="auto"/>
          <w:spacing w:val="22"/>
          <w:sz w:val="32"/>
        </w:rPr>
        <w:t>四川省工商行政管理局</w:t>
      </w:r>
    </w:p>
    <w:p>
      <w:pPr>
        <w:spacing w:line="480" w:lineRule="auto"/>
        <w:jc w:val="center"/>
        <w:rPr>
          <w:rFonts w:hint="eastAsia" w:eastAsia="黑体"/>
          <w:color w:val="auto"/>
          <w:spacing w:val="20"/>
          <w:sz w:val="36"/>
        </w:rPr>
      </w:pPr>
      <w:r>
        <w:rPr>
          <w:color w:val="auto"/>
          <w:spacing w:val="22"/>
          <w:sz w:val="32"/>
        </w:rPr>
        <w:br w:type="page"/>
      </w:r>
      <w:r>
        <w:rPr>
          <w:rFonts w:hint="eastAsia" w:eastAsia="黑体"/>
          <w:color w:val="auto"/>
          <w:spacing w:val="20"/>
          <w:sz w:val="36"/>
        </w:rPr>
        <w:t>四川省国家投资工程建设项目</w:t>
      </w:r>
    </w:p>
    <w:p>
      <w:pPr>
        <w:spacing w:after="156" w:afterLines="50"/>
        <w:jc w:val="center"/>
        <w:rPr>
          <w:rFonts w:hint="eastAsia" w:eastAsia="黑体"/>
          <w:color w:val="auto"/>
          <w:sz w:val="44"/>
        </w:rPr>
      </w:pPr>
      <w:r>
        <w:rPr>
          <w:rFonts w:hint="eastAsia" w:eastAsia="黑体"/>
          <w:color w:val="auto"/>
          <w:sz w:val="44"/>
        </w:rPr>
        <w:t>委托招标代理合同</w:t>
      </w:r>
    </w:p>
    <w:p>
      <w:pPr>
        <w:spacing w:line="520" w:lineRule="exact"/>
        <w:jc w:val="center"/>
        <w:rPr>
          <w:rFonts w:hint="eastAsia" w:eastAsia="黑体"/>
          <w:b/>
          <w:bCs/>
          <w:color w:val="auto"/>
          <w:sz w:val="32"/>
        </w:rPr>
      </w:pPr>
    </w:p>
    <w:p>
      <w:pPr>
        <w:spacing w:line="640" w:lineRule="exact"/>
        <w:ind w:firstLine="2385"/>
        <w:jc w:val="center"/>
        <w:rPr>
          <w:rFonts w:hint="eastAsia" w:ascii="仿宋" w:hAnsi="仿宋" w:eastAsia="仿宋"/>
          <w:color w:val="auto"/>
          <w:sz w:val="32"/>
          <w:u w:val="single"/>
        </w:rPr>
      </w:pPr>
      <w:r>
        <w:rPr>
          <w:rFonts w:hint="eastAsia" w:ascii="仿宋" w:hAnsi="仿宋" w:eastAsia="仿宋"/>
          <w:color w:val="auto"/>
          <w:sz w:val="32"/>
        </w:rPr>
        <w:t xml:space="preserve">           合同编号：</w:t>
      </w:r>
      <w:r>
        <w:rPr>
          <w:rFonts w:hint="eastAsia" w:ascii="仿宋" w:hAnsi="仿宋" w:eastAsia="仿宋"/>
          <w:color w:val="auto"/>
          <w:sz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黑体" w:hAnsi="黑体" w:eastAsia="黑体"/>
          <w:b/>
          <w:bCs/>
          <w:color w:val="auto"/>
          <w:sz w:val="32"/>
          <w:szCs w:val="32"/>
        </w:rPr>
      </w:pPr>
      <w:r>
        <w:rPr>
          <w:rFonts w:hint="eastAsia" w:eastAsia="黑体"/>
          <w:b/>
          <w:bCs/>
          <w:color w:val="auto"/>
          <w:sz w:val="32"/>
          <w:szCs w:val="32"/>
        </w:rPr>
        <w:t>甲方</w:t>
      </w:r>
      <w:r>
        <w:rPr>
          <w:rFonts w:hint="eastAsia" w:ascii="仿宋" w:hAnsi="仿宋" w:eastAsia="仿宋"/>
          <w:b/>
          <w:bCs/>
          <w:color w:val="auto"/>
          <w:sz w:val="32"/>
          <w:szCs w:val="32"/>
        </w:rPr>
        <w:t>（</w:t>
      </w:r>
      <w:r>
        <w:rPr>
          <w:rFonts w:hint="eastAsia" w:eastAsia="黑体"/>
          <w:b/>
          <w:bCs/>
          <w:color w:val="auto"/>
          <w:sz w:val="32"/>
          <w:szCs w:val="32"/>
        </w:rPr>
        <w:t>招标人，委托人</w:t>
      </w:r>
      <w:r>
        <w:rPr>
          <w:rFonts w:hint="eastAsia" w:ascii="仿宋" w:hAnsi="仿宋" w:eastAsia="仿宋"/>
          <w:b/>
          <w:bCs/>
          <w:color w:val="auto"/>
          <w:sz w:val="32"/>
          <w:szCs w:val="32"/>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u w:val="single"/>
          <w:lang w:eastAsia="zh-CN"/>
        </w:rPr>
      </w:pPr>
      <w:r>
        <w:rPr>
          <w:rFonts w:hint="eastAsia" w:ascii="仿宋" w:hAnsi="仿宋" w:eastAsia="仿宋"/>
          <w:color w:val="auto"/>
          <w:spacing w:val="10"/>
          <w:sz w:val="32"/>
          <w:szCs w:val="32"/>
        </w:rPr>
        <w:t>招标人名称：</w:t>
      </w:r>
      <w:r>
        <w:rPr>
          <w:rFonts w:hint="eastAsia" w:ascii="仿宋" w:hAnsi="仿宋" w:eastAsia="仿宋"/>
          <w:color w:val="auto"/>
          <w:spacing w:val="10"/>
          <w:sz w:val="32"/>
          <w:szCs w:val="32"/>
          <w:u w:val="single"/>
        </w:rPr>
        <w:t>四川铁道职业学院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u w:val="single"/>
        </w:rPr>
      </w:pPr>
      <w:r>
        <w:rPr>
          <w:rFonts w:hint="eastAsia" w:ascii="仿宋" w:hAnsi="仿宋" w:eastAsia="仿宋"/>
          <w:color w:val="auto"/>
          <w:spacing w:val="10"/>
          <w:sz w:val="32"/>
          <w:szCs w:val="32"/>
        </w:rPr>
        <w:t>法定代表人或负责人：</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lang w:val="en-US" w:eastAsia="zh-CN"/>
        </w:rPr>
        <w:t xml:space="preserve">      </w:t>
      </w:r>
      <w:r>
        <w:rPr>
          <w:rFonts w:ascii="仿宋" w:hAnsi="仿宋" w:eastAsia="仿宋"/>
          <w:color w:val="auto"/>
          <w:spacing w:val="1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eastAsia="黑体"/>
          <w:b/>
          <w:bCs/>
          <w:color w:val="auto"/>
          <w:sz w:val="32"/>
          <w:szCs w:val="32"/>
        </w:rPr>
      </w:pPr>
      <w:r>
        <w:rPr>
          <w:rFonts w:hint="eastAsia" w:eastAsia="黑体"/>
          <w:b/>
          <w:bCs/>
          <w:color w:val="auto"/>
          <w:sz w:val="32"/>
          <w:szCs w:val="32"/>
        </w:rPr>
        <w:t>乙方</w:t>
      </w:r>
      <w:r>
        <w:rPr>
          <w:rFonts w:hint="eastAsia" w:ascii="仿宋" w:hAnsi="仿宋" w:eastAsia="仿宋"/>
          <w:b/>
          <w:bCs/>
          <w:color w:val="auto"/>
          <w:sz w:val="32"/>
          <w:szCs w:val="32"/>
        </w:rPr>
        <w:t>（</w:t>
      </w:r>
      <w:r>
        <w:rPr>
          <w:rFonts w:hint="eastAsia" w:eastAsia="黑体"/>
          <w:b/>
          <w:bCs/>
          <w:color w:val="auto"/>
          <w:sz w:val="32"/>
          <w:szCs w:val="32"/>
        </w:rPr>
        <w:t>招标代理机构，受托人</w:t>
      </w:r>
      <w:r>
        <w:rPr>
          <w:rFonts w:hint="eastAsia" w:ascii="仿宋" w:hAnsi="仿宋" w:eastAsia="仿宋"/>
          <w:b/>
          <w:bCs/>
          <w:color w:val="auto"/>
          <w:sz w:val="32"/>
          <w:szCs w:val="32"/>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u w:val="single"/>
          <w:lang w:val="en-US"/>
        </w:rPr>
      </w:pPr>
      <w:r>
        <w:rPr>
          <w:rFonts w:hint="eastAsia" w:ascii="仿宋" w:hAnsi="仿宋" w:eastAsia="仿宋"/>
          <w:color w:val="auto"/>
          <w:spacing w:val="10"/>
          <w:sz w:val="32"/>
          <w:szCs w:val="32"/>
        </w:rPr>
        <w:t>代理机构法人名称：</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u w:val="single"/>
          <w:lang w:val="en-US"/>
        </w:rPr>
      </w:pPr>
      <w:r>
        <w:rPr>
          <w:rFonts w:hint="eastAsia" w:ascii="仿宋" w:hAnsi="仿宋" w:eastAsia="仿宋"/>
          <w:color w:val="auto"/>
          <w:spacing w:val="10"/>
          <w:sz w:val="32"/>
          <w:szCs w:val="32"/>
        </w:rPr>
        <w:t>法定代表人：</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pacing w:val="2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委托招标项目名称：</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仿宋" w:hAnsi="仿宋" w:eastAsia="仿宋"/>
          <w:color w:val="auto"/>
          <w:sz w:val="32"/>
          <w:szCs w:val="32"/>
          <w:u w:val="single"/>
        </w:rPr>
      </w:pP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招标事项核准文件名称：</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s="Times New Roman"/>
          <w:color w:val="auto"/>
          <w:sz w:val="32"/>
          <w:szCs w:val="32"/>
          <w:u w:val="single"/>
        </w:rPr>
      </w:pPr>
      <w:r>
        <w:rPr>
          <w:rFonts w:hint="eastAsia" w:ascii="仿宋" w:hAnsi="仿宋" w:eastAsia="仿宋"/>
          <w:color w:val="auto"/>
          <w:spacing w:val="10"/>
          <w:sz w:val="32"/>
          <w:szCs w:val="32"/>
        </w:rPr>
        <w:t>招标事项核准文号：</w:t>
      </w:r>
      <w:r>
        <w:rPr>
          <w:rFonts w:hint="eastAsia" w:ascii="仿宋" w:hAnsi="仿宋" w:eastAsia="仿宋" w:cs="Times New Roman"/>
          <w:color w:val="auto"/>
          <w:sz w:val="32"/>
          <w:szCs w:val="32"/>
          <w:u w:val="single"/>
          <w:lang w:val="en-US" w:eastAsia="zh-CN"/>
        </w:rPr>
        <w:t xml:space="preserve">                </w:t>
      </w:r>
      <w:r>
        <w:rPr>
          <w:rFonts w:hint="eastAsia" w:ascii="仿宋" w:hAnsi="仿宋" w:eastAsia="仿宋" w:cs="Times New Roman"/>
          <w:color w:val="auto"/>
          <w:sz w:val="32"/>
          <w:szCs w:val="32"/>
          <w:u w:val="single"/>
        </w:rPr>
        <w:t xml:space="preserve">   </w:t>
      </w:r>
      <w:r>
        <w:rPr>
          <w:rFonts w:hint="eastAsia" w:ascii="仿宋" w:hAnsi="仿宋" w:eastAsia="仿宋" w:cs="Times New Roman"/>
          <w:color w:val="auto"/>
          <w:sz w:val="32"/>
          <w:szCs w:val="32"/>
          <w:u w:val="single"/>
          <w:lang w:val="en-US" w:eastAsia="zh-CN"/>
        </w:rPr>
        <w:t xml:space="preserve">  </w:t>
      </w:r>
      <w:r>
        <w:rPr>
          <w:rFonts w:hint="eastAsia" w:ascii="仿宋" w:hAnsi="仿宋" w:eastAsia="仿宋" w:cs="Times New Roman"/>
          <w:color w:val="auto"/>
          <w:sz w:val="32"/>
          <w:szCs w:val="32"/>
          <w:u w:val="single"/>
        </w:rPr>
        <w:t xml:space="preserve">  </w:t>
      </w:r>
      <w:r>
        <w:rPr>
          <w:rFonts w:hint="eastAsia" w:ascii="仿宋" w:hAnsi="仿宋" w:eastAsia="仿宋" w:cs="Times New Roman"/>
          <w:color w:val="auto"/>
          <w:sz w:val="32"/>
          <w:szCs w:val="32"/>
          <w:u w:val="single"/>
          <w:lang w:val="en-US" w:eastAsia="zh-CN"/>
        </w:rPr>
        <w:t xml:space="preserve">    </w:t>
      </w:r>
      <w:r>
        <w:rPr>
          <w:rFonts w:hint="eastAsia" w:ascii="仿宋" w:hAnsi="仿宋" w:eastAsia="仿宋"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总投资额（以项目审批、核准或备案文件为准）：</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甲方为顺利、依法完成项目的招标工作，已通过</w:t>
      </w:r>
      <w:r>
        <w:rPr>
          <w:rFonts w:hint="eastAsia" w:ascii="仿宋" w:hAnsi="仿宋" w:eastAsia="仿宋"/>
          <w:color w:val="auto"/>
          <w:spacing w:val="10"/>
          <w:sz w:val="32"/>
          <w:szCs w:val="32"/>
          <w:lang w:val="en-US" w:eastAsia="zh-Hans"/>
        </w:rPr>
        <w:t>下列第</w:t>
      </w:r>
      <w:r>
        <w:rPr>
          <w:rFonts w:hint="eastAsia" w:ascii="仿宋" w:hAnsi="仿宋" w:eastAsia="仿宋"/>
          <w:color w:val="auto"/>
          <w:spacing w:val="10"/>
          <w:sz w:val="32"/>
          <w:szCs w:val="32"/>
        </w:rPr>
        <w:t>【壹】</w:t>
      </w:r>
      <w:r>
        <w:rPr>
          <w:rFonts w:hint="eastAsia" w:ascii="仿宋" w:hAnsi="仿宋" w:eastAsia="仿宋"/>
          <w:color w:val="auto"/>
          <w:spacing w:val="10"/>
          <w:sz w:val="32"/>
          <w:szCs w:val="32"/>
          <w:lang w:val="en-US" w:eastAsia="zh-Hans"/>
        </w:rPr>
        <w:t>种</w:t>
      </w:r>
      <w:r>
        <w:rPr>
          <w:rFonts w:hint="eastAsia" w:ascii="仿宋" w:hAnsi="仿宋" w:eastAsia="仿宋"/>
          <w:color w:val="auto"/>
          <w:spacing w:val="10"/>
          <w:sz w:val="32"/>
          <w:szCs w:val="32"/>
        </w:rPr>
        <w:t>方式，确定乙方为本项目的招标代理机构。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rPr>
      </w:pPr>
      <w:r>
        <w:rPr>
          <w:rFonts w:hint="eastAsia" w:ascii="仿宋" w:hAnsi="仿宋" w:eastAsia="仿宋"/>
          <w:color w:val="auto"/>
          <w:spacing w:val="10"/>
          <w:sz w:val="32"/>
          <w:szCs w:val="32"/>
        </w:rPr>
        <w:t>【壹】比选；【贰】比选失败后直接确定；【叁】其他</w:t>
      </w:r>
      <w:r>
        <w:rPr>
          <w:rFonts w:hint="default" w:ascii="仿宋" w:hAnsi="仿宋" w:eastAsia="仿宋"/>
          <w:color w:val="auto"/>
          <w:spacing w:val="1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z w:val="32"/>
          <w:szCs w:val="32"/>
        </w:rPr>
      </w:pPr>
      <w:r>
        <w:rPr>
          <w:rFonts w:hint="eastAsia" w:ascii="仿宋" w:hAnsi="仿宋" w:eastAsia="仿宋"/>
          <w:color w:val="auto"/>
          <w:spacing w:val="10"/>
          <w:sz w:val="32"/>
          <w:szCs w:val="32"/>
        </w:rPr>
        <w:t>为规范招标代理服务，维护甲乙双方的合法权益，根据《中华人民共和国民法典》《中华人民共和国招标投标法》和《四川省国家投资工程建设项目招标投标条例》等有关法律法规的规定，遵循公平、平等、自愿、有偿和诚实信用的原则，甲乙双方协商一致订立本合同，并承诺共同遵守。</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一、总 则</w:t>
      </w:r>
    </w:p>
    <w:p>
      <w:pPr>
        <w:pStyle w:val="9"/>
        <w:keepNext w:val="0"/>
        <w:keepLines w:val="0"/>
        <w:pageBreakBefore w:val="0"/>
        <w:widowControl w:val="0"/>
        <w:numPr>
          <w:ilvl w:val="0"/>
          <w:numId w:val="6"/>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甲方授权乙方在本合同“三、委托代理范围”规定的授权范围内办理有关招标代理事宜，甲方同意承担乙方在代理权限内实施代理行为产生的结果，其中包括各项权利、义务和商业风险、收益。</w:t>
      </w:r>
    </w:p>
    <w:p>
      <w:pPr>
        <w:keepNext w:val="0"/>
        <w:keepLines w:val="0"/>
        <w:pageBreakBefore w:val="0"/>
        <w:widowControl w:val="0"/>
        <w:numPr>
          <w:ilvl w:val="0"/>
          <w:numId w:val="6"/>
        </w:numPr>
        <w:tabs>
          <w:tab w:val="clear" w:pos="1500"/>
        </w:tabs>
        <w:kinsoku/>
        <w:wordWrap/>
        <w:overflowPunct/>
        <w:topLinePunct w:val="0"/>
        <w:autoSpaceDE/>
        <w:autoSpaceDN/>
        <w:bidi w:val="0"/>
        <w:adjustRightInd/>
        <w:snapToGrid/>
        <w:spacing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应本着诚实信用的原则认真履行本合同项下的各项义务并保证其代理工作符合国家法律和四川省的有关招标投标规定。乙方应承担和自身过错相适应的违反本合同的责任，但乙方不承担中标的承包人不履行合同义务给甲方造成的损失和有关的损害赔偿责任。</w:t>
      </w:r>
    </w:p>
    <w:p>
      <w:pPr>
        <w:keepNext w:val="0"/>
        <w:keepLines w:val="0"/>
        <w:pageBreakBefore w:val="0"/>
        <w:widowControl w:val="0"/>
        <w:numPr>
          <w:ilvl w:val="0"/>
          <w:numId w:val="6"/>
        </w:numPr>
        <w:tabs>
          <w:tab w:val="clear" w:pos="1500"/>
        </w:tabs>
        <w:kinsoku/>
        <w:wordWrap/>
        <w:overflowPunct/>
        <w:topLinePunct w:val="0"/>
        <w:autoSpaceDE/>
        <w:autoSpaceDN/>
        <w:bidi w:val="0"/>
        <w:adjustRightInd/>
        <w:snapToGrid/>
        <w:spacing w:line="240" w:lineRule="auto"/>
        <w:ind w:left="0" w:leftChars="0" w:firstLine="540"/>
        <w:textAlignment w:val="auto"/>
        <w:rPr>
          <w:rFonts w:ascii="仿宋" w:hAnsi="仿宋" w:eastAsia="仿宋"/>
          <w:color w:val="auto"/>
          <w:spacing w:val="10"/>
          <w:sz w:val="32"/>
          <w:szCs w:val="32"/>
        </w:rPr>
      </w:pPr>
      <w:r>
        <w:rPr>
          <w:rFonts w:hint="eastAsia" w:ascii="仿宋" w:hAnsi="仿宋" w:eastAsia="仿宋"/>
          <w:color w:val="auto"/>
          <w:spacing w:val="10"/>
          <w:sz w:val="32"/>
          <w:szCs w:val="32"/>
        </w:rPr>
        <w:t>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二、声 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本合同的签订，还基于双方以下的声明：</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67"/>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甲乙双方郑重声明：甲方和乙方没有行政上的隶属关系和经济上的投资或股权关系。</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lang w:val="en-US" w:eastAsia="zh-Hans"/>
        </w:rPr>
        <w:t>乙方</w:t>
      </w:r>
      <w:r>
        <w:rPr>
          <w:rFonts w:hint="eastAsia" w:ascii="仿宋" w:hAnsi="仿宋" w:eastAsia="仿宋"/>
          <w:color w:val="auto"/>
          <w:spacing w:val="10"/>
          <w:sz w:val="32"/>
          <w:szCs w:val="32"/>
        </w:rPr>
        <w:t>郑重声明：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lang w:val="en-US" w:eastAsia="zh-Hans"/>
        </w:rPr>
        <w:t>乙方</w:t>
      </w:r>
      <w:r>
        <w:rPr>
          <w:rFonts w:hint="eastAsia" w:ascii="仿宋" w:hAnsi="仿宋" w:eastAsia="仿宋"/>
          <w:color w:val="auto"/>
          <w:spacing w:val="10"/>
          <w:sz w:val="32"/>
          <w:szCs w:val="32"/>
        </w:rPr>
        <w:t>承诺在核定的资格范围内承担招标代理业务。保证不得无权代理、越权代理；保证不得明知或应当知道委托事项违法而进行代理；保证不转让、转包招标代理业务和转让、出借、倒卖招标代理资格证书。</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lang w:val="en-US" w:eastAsia="zh-Hans"/>
        </w:rPr>
        <w:t>乙方</w:t>
      </w:r>
      <w:r>
        <w:rPr>
          <w:rFonts w:hint="eastAsia" w:ascii="仿宋" w:hAnsi="仿宋" w:eastAsia="仿宋"/>
          <w:color w:val="auto"/>
          <w:spacing w:val="10"/>
          <w:sz w:val="32"/>
          <w:szCs w:val="32"/>
        </w:rPr>
        <w:t>承诺：严格遵守《招标投标法》第五十条关于招标代理机构的禁止性规定，并愿意为此承担违反此条规定的法律责任。</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甲乙双方如有违反上述</w:t>
      </w:r>
      <w:r>
        <w:rPr>
          <w:rFonts w:hint="eastAsia" w:ascii="仿宋" w:hAnsi="仿宋" w:eastAsia="仿宋"/>
          <w:color w:val="auto"/>
          <w:spacing w:val="-20"/>
          <w:kern w:val="32"/>
          <w:sz w:val="32"/>
          <w:szCs w:val="32"/>
        </w:rPr>
        <w:t>（一）</w:t>
      </w:r>
      <w:r>
        <w:rPr>
          <w:rFonts w:hint="eastAsia" w:ascii="仿宋" w:hAnsi="仿宋" w:eastAsia="仿宋"/>
          <w:color w:val="auto"/>
          <w:spacing w:val="-20"/>
          <w:kern w:val="32"/>
          <w:sz w:val="32"/>
          <w:szCs w:val="32"/>
          <w:lang w:eastAsia="zh-CN"/>
        </w:rPr>
        <w:t>（二）（三）</w:t>
      </w:r>
      <w:r>
        <w:rPr>
          <w:rFonts w:hint="eastAsia" w:ascii="仿宋" w:hAnsi="仿宋" w:eastAsia="仿宋"/>
          <w:color w:val="auto"/>
          <w:spacing w:val="-20"/>
          <w:kern w:val="32"/>
          <w:sz w:val="32"/>
          <w:szCs w:val="32"/>
        </w:rPr>
        <w:t>（四）</w:t>
      </w:r>
      <w:r>
        <w:rPr>
          <w:rFonts w:hint="eastAsia" w:ascii="仿宋" w:hAnsi="仿宋" w:eastAsia="仿宋"/>
          <w:color w:val="auto"/>
          <w:spacing w:val="10"/>
          <w:sz w:val="32"/>
          <w:szCs w:val="32"/>
        </w:rPr>
        <w:t>项</w:t>
      </w:r>
      <w:r>
        <w:rPr>
          <w:rFonts w:hint="eastAsia" w:ascii="仿宋" w:hAnsi="仿宋" w:eastAsia="仿宋"/>
          <w:color w:val="auto"/>
          <w:spacing w:val="10"/>
          <w:sz w:val="32"/>
          <w:szCs w:val="32"/>
          <w:lang w:val="en-US" w:eastAsia="zh-Hans"/>
        </w:rPr>
        <w:t>各自的</w:t>
      </w:r>
      <w:r>
        <w:rPr>
          <w:rFonts w:hint="eastAsia" w:ascii="仿宋" w:hAnsi="仿宋" w:eastAsia="仿宋"/>
          <w:color w:val="auto"/>
          <w:spacing w:val="10"/>
          <w:sz w:val="32"/>
          <w:szCs w:val="32"/>
        </w:rPr>
        <w:t>声明或承诺的，双方所签合同无效，并自愿接受招标投标行政主管部门的处理和承担由此造成的</w:t>
      </w:r>
      <w:r>
        <w:rPr>
          <w:rFonts w:hint="eastAsia" w:ascii="仿宋" w:hAnsi="仿宋" w:eastAsia="仿宋"/>
          <w:color w:val="auto"/>
          <w:spacing w:val="10"/>
          <w:sz w:val="32"/>
          <w:szCs w:val="32"/>
          <w:lang w:val="en-US" w:eastAsia="zh-Hans"/>
        </w:rPr>
        <w:t>责任和</w:t>
      </w:r>
      <w:r>
        <w:rPr>
          <w:rFonts w:hint="eastAsia" w:ascii="仿宋" w:hAnsi="仿宋" w:eastAsia="仿宋"/>
          <w:color w:val="auto"/>
          <w:spacing w:val="10"/>
          <w:sz w:val="32"/>
          <w:szCs w:val="32"/>
        </w:rPr>
        <w:t>损失。</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甲乙双方都同意：乙方受甲方委托从事招标代理业务并收取招标代理服务费，但乙方不隶属于甲方。招标代理机构既要维护招标人的利益，也要依法保护投标人的合法权益，并接受有关部门的监督。</w:t>
      </w:r>
    </w:p>
    <w:p>
      <w:pPr>
        <w:pStyle w:val="9"/>
        <w:keepNext w:val="0"/>
        <w:keepLines w:val="0"/>
        <w:pageBreakBefore w:val="0"/>
        <w:widowControl w:val="0"/>
        <w:numPr>
          <w:ilvl w:val="0"/>
          <w:numId w:val="7"/>
        </w:numPr>
        <w:tabs>
          <w:tab w:val="clear" w:pos="1500"/>
        </w:tabs>
        <w:kinsoku/>
        <w:wordWrap/>
        <w:overflowPunct/>
        <w:topLinePunct w:val="0"/>
        <w:autoSpaceDE/>
        <w:autoSpaceDN/>
        <w:bidi w:val="0"/>
        <w:adjustRightInd/>
        <w:snapToGrid/>
        <w:spacing w:after="0" w:line="240" w:lineRule="auto"/>
        <w:ind w:left="0" w:leftChars="0" w:firstLine="5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乙方郑重声明：完全熟悉并掌握</w:t>
      </w:r>
      <w:r>
        <w:rPr>
          <w:rFonts w:hint="eastAsia" w:ascii="仿宋" w:hAnsi="仿宋" w:eastAsia="仿宋"/>
          <w:color w:val="auto"/>
          <w:spacing w:val="4"/>
          <w:sz w:val="32"/>
          <w:szCs w:val="32"/>
        </w:rPr>
        <w:t>《中华人民共和国招标投标法</w:t>
      </w:r>
      <w:r>
        <w:rPr>
          <w:rFonts w:hint="eastAsia" w:ascii="仿宋" w:hAnsi="仿宋" w:eastAsia="仿宋"/>
          <w:color w:val="auto"/>
          <w:spacing w:val="4"/>
          <w:sz w:val="32"/>
          <w:szCs w:val="32"/>
          <w:lang w:eastAsia="zh-CN"/>
        </w:rPr>
        <w:t>》《</w:t>
      </w:r>
      <w:r>
        <w:rPr>
          <w:rFonts w:hint="eastAsia" w:ascii="仿宋" w:hAnsi="仿宋" w:eastAsia="仿宋"/>
          <w:color w:val="auto"/>
          <w:spacing w:val="4"/>
          <w:sz w:val="32"/>
          <w:szCs w:val="32"/>
        </w:rPr>
        <w:t>四川省国家投资工程建设项目招标投标条例》</w:t>
      </w:r>
      <w:r>
        <w:rPr>
          <w:rFonts w:hint="eastAsia" w:ascii="仿宋" w:hAnsi="仿宋" w:eastAsia="仿宋"/>
          <w:color w:val="auto"/>
          <w:spacing w:val="10"/>
          <w:sz w:val="32"/>
          <w:szCs w:val="32"/>
        </w:rPr>
        <w:t>等有关招标投标规定，并知道违反这些规定引起的严重法律后果。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三、委托代理范围</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pacing w:val="10"/>
          <w:sz w:val="32"/>
          <w:szCs w:val="32"/>
        </w:rPr>
      </w:pPr>
      <w:r>
        <w:rPr>
          <w:rFonts w:hint="eastAsia"/>
          <w:color w:val="auto"/>
          <w:sz w:val="32"/>
          <w:szCs w:val="32"/>
        </w:rPr>
        <w:tab/>
      </w:r>
      <w:r>
        <w:rPr>
          <w:rFonts w:hint="eastAsia" w:ascii="仿宋" w:hAnsi="仿宋" w:eastAsia="仿宋"/>
          <w:color w:val="auto"/>
          <w:spacing w:val="10"/>
          <w:sz w:val="32"/>
          <w:szCs w:val="32"/>
        </w:rPr>
        <w:t>甲方委托乙方代理的具体内容为：</w:t>
      </w:r>
      <w:r>
        <w:rPr>
          <w:rFonts w:hint="eastAsia"/>
          <w:b/>
          <w:bCs/>
          <w:color w:val="auto"/>
          <w:w w:val="108"/>
          <w:sz w:val="32"/>
          <w:szCs w:val="32"/>
          <w:highlight w:val="none"/>
          <w:u w:val="single"/>
          <w:lang w:eastAsia="zh-CN"/>
        </w:rPr>
        <w:t>本项目核准范围内的所有招标代理服务</w:t>
      </w:r>
      <w:r>
        <w:rPr>
          <w:rFonts w:hint="eastAsia"/>
          <w:b/>
          <w:bCs/>
          <w:color w:val="auto"/>
          <w:w w:val="108"/>
          <w:sz w:val="32"/>
          <w:szCs w:val="32"/>
          <w:highlight w:val="none"/>
          <w:u w:val="single"/>
          <w:lang w:val="en-US" w:eastAsia="zh-CN"/>
        </w:rPr>
        <w:t xml:space="preserve"> </w:t>
      </w:r>
      <w:r>
        <w:rPr>
          <w:rFonts w:hint="eastAsia" w:ascii="仿宋" w:hAnsi="仿宋" w:eastAsia="仿宋"/>
          <w:color w:val="auto"/>
          <w:spacing w:val="10"/>
          <w:sz w:val="32"/>
          <w:szCs w:val="32"/>
          <w:highlight w:val="none"/>
        </w:rPr>
        <w:t>招标（包括按规</w:t>
      </w:r>
      <w:r>
        <w:rPr>
          <w:rFonts w:hint="eastAsia" w:ascii="仿宋" w:hAnsi="仿宋" w:eastAsia="仿宋"/>
          <w:color w:val="auto"/>
          <w:spacing w:val="10"/>
          <w:sz w:val="32"/>
          <w:szCs w:val="32"/>
        </w:rPr>
        <w:t>定重新招标和评标）。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乙方接受甲方委托，在下列授权范围内从事招标代理工作：</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拟订招标方案，向招标人提供招标前期咨询；</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发布（发送）有关招标信息；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jc w:val="left"/>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按规定编制并发售招标文件（资格预审文件）及补遗；</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组织投标人踏勘现场、答疑；</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组织开标活动，做好评标（评审）的服务和后勤工作；</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协助招标人组建评标委员会、定标，协助评标（评审）委员会编制评标报告（资格预审报告）；</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办理中标候选人公示；</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受招标人委托向中标人发出中标通知书、向未中标的投标人发出中标结果通知书以及尽其他通知义务；</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草拟承包合同，协调合同的签订；</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完成招标投标情况的所有备案手续；</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72" w:firstLineChars="200"/>
        <w:textAlignment w:val="auto"/>
        <w:rPr>
          <w:rFonts w:hint="eastAsia" w:ascii="仿宋" w:hAnsi="仿宋" w:eastAsia="仿宋"/>
          <w:color w:val="auto"/>
          <w:spacing w:val="8"/>
          <w:sz w:val="32"/>
          <w:szCs w:val="32"/>
        </w:rPr>
      </w:pPr>
      <w:r>
        <w:rPr>
          <w:rFonts w:hint="eastAsia" w:ascii="仿宋" w:hAnsi="仿宋" w:eastAsia="仿宋"/>
          <w:color w:val="auto"/>
          <w:spacing w:val="8"/>
          <w:sz w:val="32"/>
          <w:szCs w:val="32"/>
        </w:rPr>
        <w:t>协助招标人处理投标人和其他利害关系人提出的异议；</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做好整个招标投标过程的服务和协调工作。</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为完成甲方委托的招标代理业务，乙方应委派有足够经验的专职技术经济人员担任项目负责人，及委派</w:t>
      </w:r>
      <w:r>
        <w:rPr>
          <w:rFonts w:hint="eastAsia" w:ascii="仿宋" w:hAnsi="仿宋" w:eastAsia="仿宋"/>
          <w:color w:val="auto"/>
          <w:spacing w:val="10"/>
          <w:sz w:val="32"/>
          <w:szCs w:val="32"/>
          <w:lang w:val="en-US" w:eastAsia="zh-CN"/>
        </w:rPr>
        <w:t xml:space="preserve">  </w:t>
      </w:r>
      <w:r>
        <w:rPr>
          <w:rFonts w:hint="eastAsia" w:ascii="仿宋" w:hAnsi="仿宋" w:eastAsia="仿宋"/>
          <w:color w:val="auto"/>
          <w:spacing w:val="10"/>
          <w:sz w:val="32"/>
          <w:szCs w:val="32"/>
        </w:rPr>
        <w:t>名以上专职技术人员（公开比选的应和《代理申请书》中的人员一致）到本项目从事招标代理工作。</w:t>
      </w:r>
    </w:p>
    <w:p>
      <w:pPr>
        <w:keepNext w:val="0"/>
        <w:keepLines w:val="0"/>
        <w:pageBreakBefore w:val="0"/>
        <w:widowControl w:val="0"/>
        <w:numPr>
          <w:ilvl w:val="1"/>
          <w:numId w:val="9"/>
        </w:numPr>
        <w:tabs>
          <w:tab w:val="clear" w:pos="1620"/>
        </w:tabs>
        <w:kinsoku/>
        <w:wordWrap/>
        <w:overflowPunct/>
        <w:topLinePunct w:val="0"/>
        <w:autoSpaceDE/>
        <w:autoSpaceDN/>
        <w:bidi w:val="0"/>
        <w:adjustRightInd/>
        <w:snapToGrid/>
        <w:spacing w:line="240" w:lineRule="auto"/>
        <w:ind w:left="0" w:leftChars="0" w:firstLine="707" w:firstLineChars="208"/>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项目负责人（1人）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1020" w:firstLineChars="300"/>
        <w:textAlignment w:val="auto"/>
        <w:rPr>
          <w:rFonts w:hint="default" w:ascii="仿宋" w:hAnsi="仿宋" w:eastAsia="仿宋"/>
          <w:color w:val="auto"/>
          <w:spacing w:val="10"/>
          <w:sz w:val="32"/>
          <w:szCs w:val="32"/>
          <w:u w:val="single"/>
          <w:lang w:val="en-US" w:eastAsia="zh-CN"/>
        </w:rPr>
      </w:pPr>
      <w:r>
        <w:rPr>
          <w:rFonts w:hint="eastAsia" w:ascii="仿宋" w:hAnsi="仿宋" w:eastAsia="仿宋"/>
          <w:color w:val="auto"/>
          <w:spacing w:val="10"/>
          <w:sz w:val="32"/>
          <w:szCs w:val="32"/>
        </w:rPr>
        <w:t>姓名：</w:t>
      </w:r>
      <w:r>
        <w:rPr>
          <w:rFonts w:hint="eastAsia" w:ascii="仿宋" w:hAnsi="仿宋" w:eastAsia="仿宋"/>
          <w:color w:val="auto"/>
          <w:spacing w:val="10"/>
          <w:sz w:val="32"/>
          <w:szCs w:val="32"/>
          <w:u w:val="single"/>
          <w:lang w:val="en-US" w:eastAsia="zh-CN"/>
        </w:rPr>
        <w:t xml:space="preserve">   </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none"/>
        </w:rPr>
        <w:t xml:space="preserve"> </w:t>
      </w:r>
      <w:r>
        <w:rPr>
          <w:rFonts w:ascii="仿宋" w:hAnsi="仿宋" w:eastAsia="仿宋"/>
          <w:color w:val="auto"/>
          <w:spacing w:val="10"/>
          <w:sz w:val="32"/>
          <w:szCs w:val="32"/>
          <w:u w:val="none"/>
        </w:rPr>
        <w:t xml:space="preserve"> </w:t>
      </w:r>
      <w:r>
        <w:rPr>
          <w:rFonts w:hint="eastAsia" w:ascii="仿宋" w:hAnsi="仿宋" w:eastAsia="仿宋"/>
          <w:color w:val="auto"/>
          <w:spacing w:val="10"/>
          <w:sz w:val="32"/>
          <w:szCs w:val="32"/>
        </w:rPr>
        <w:t>身份证号：</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707" w:firstLineChars="208"/>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2</w:t>
      </w:r>
      <w:r>
        <w:rPr>
          <w:rFonts w:ascii="仿宋" w:hAnsi="仿宋" w:eastAsia="仿宋"/>
          <w:color w:val="auto"/>
          <w:spacing w:val="10"/>
          <w:sz w:val="32"/>
          <w:szCs w:val="32"/>
        </w:rPr>
        <w:t xml:space="preserve">. </w:t>
      </w:r>
      <w:r>
        <w:rPr>
          <w:rFonts w:hint="eastAsia" w:ascii="仿宋" w:hAnsi="仿宋" w:eastAsia="仿宋"/>
          <w:color w:val="auto"/>
          <w:spacing w:val="10"/>
          <w:sz w:val="32"/>
          <w:szCs w:val="32"/>
        </w:rPr>
        <w:t>委派到本项目的主要专职技术人员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u w:val="single"/>
          <w:lang w:val="en-US" w:eastAsia="zh-CN"/>
        </w:rPr>
      </w:pPr>
      <w:r>
        <w:rPr>
          <w:rFonts w:hint="eastAsia" w:ascii="仿宋" w:hAnsi="仿宋" w:eastAsia="仿宋"/>
          <w:color w:val="auto"/>
          <w:spacing w:val="10"/>
          <w:sz w:val="32"/>
          <w:szCs w:val="32"/>
        </w:rPr>
        <w:t>①姓名：</w:t>
      </w:r>
      <w:r>
        <w:rPr>
          <w:rFonts w:hint="eastAsia" w:ascii="仿宋" w:hAnsi="仿宋" w:eastAsia="仿宋"/>
          <w:color w:val="auto"/>
          <w:spacing w:val="10"/>
          <w:sz w:val="32"/>
          <w:szCs w:val="32"/>
          <w:u w:val="single"/>
          <w:lang w:val="en-US" w:eastAsia="zh-CN"/>
        </w:rPr>
        <w:t xml:space="preserve">  </w:t>
      </w:r>
      <w:r>
        <w:rPr>
          <w:rFonts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none"/>
        </w:rPr>
        <w:t xml:space="preserve"> </w:t>
      </w:r>
      <w:r>
        <w:rPr>
          <w:rFonts w:ascii="仿宋" w:hAnsi="仿宋" w:eastAsia="仿宋"/>
          <w:color w:val="auto"/>
          <w:spacing w:val="10"/>
          <w:sz w:val="32"/>
          <w:szCs w:val="32"/>
          <w:u w:val="none"/>
        </w:rPr>
        <w:t xml:space="preserve"> </w:t>
      </w:r>
      <w:r>
        <w:rPr>
          <w:rFonts w:hint="eastAsia" w:ascii="仿宋" w:hAnsi="仿宋" w:eastAsia="仿宋"/>
          <w:color w:val="auto"/>
          <w:spacing w:val="10"/>
          <w:sz w:val="32"/>
          <w:szCs w:val="32"/>
        </w:rPr>
        <w:t>身份证号：</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u w:val="single"/>
          <w:lang w:val="en-US" w:eastAsia="zh-CN"/>
        </w:rPr>
      </w:pPr>
      <w:r>
        <w:rPr>
          <w:rFonts w:hint="eastAsia" w:ascii="仿宋" w:hAnsi="仿宋" w:eastAsia="仿宋"/>
          <w:color w:val="auto"/>
          <w:spacing w:val="10"/>
          <w:sz w:val="32"/>
          <w:szCs w:val="32"/>
        </w:rPr>
        <w:t>②姓名：</w:t>
      </w:r>
      <w:r>
        <w:rPr>
          <w:rFonts w:hint="eastAsia" w:ascii="仿宋" w:hAnsi="仿宋" w:eastAsia="仿宋"/>
          <w:color w:val="auto"/>
          <w:spacing w:val="10"/>
          <w:sz w:val="32"/>
          <w:szCs w:val="32"/>
          <w:u w:val="single"/>
          <w:lang w:val="en-US" w:eastAsia="zh-CN"/>
        </w:rPr>
        <w:t xml:space="preserve">  </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lang w:val="en-US" w:eastAsia="zh-CN"/>
        </w:rPr>
        <w:t xml:space="preserve"> </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rPr>
        <w:t xml:space="preserve"> </w:t>
      </w:r>
      <w:r>
        <w:rPr>
          <w:rFonts w:ascii="仿宋" w:hAnsi="仿宋" w:eastAsia="仿宋"/>
          <w:color w:val="auto"/>
          <w:spacing w:val="10"/>
          <w:sz w:val="32"/>
          <w:szCs w:val="32"/>
        </w:rPr>
        <w:t xml:space="preserve"> </w:t>
      </w:r>
      <w:r>
        <w:rPr>
          <w:rFonts w:hint="eastAsia" w:ascii="仿宋" w:hAnsi="仿宋" w:eastAsia="仿宋"/>
          <w:color w:val="auto"/>
          <w:spacing w:val="10"/>
          <w:sz w:val="32"/>
          <w:szCs w:val="32"/>
        </w:rPr>
        <w:t>身份证号：</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default" w:ascii="仿宋" w:hAnsi="仿宋" w:eastAsia="仿宋"/>
          <w:color w:val="auto"/>
          <w:spacing w:val="10"/>
          <w:sz w:val="32"/>
          <w:szCs w:val="32"/>
          <w:u w:val="single"/>
          <w:lang w:val="en-US" w:eastAsia="zh-CN"/>
        </w:rPr>
      </w:pPr>
      <w:r>
        <w:rPr>
          <w:rFonts w:hint="eastAsia" w:ascii="仿宋" w:hAnsi="仿宋" w:eastAsia="仿宋"/>
          <w:color w:val="auto"/>
          <w:spacing w:val="10"/>
          <w:sz w:val="32"/>
          <w:szCs w:val="32"/>
        </w:rPr>
        <w:t>③姓名：</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lang w:val="en-US" w:eastAsia="zh-CN"/>
        </w:rPr>
        <w:t xml:space="preserve">  </w:t>
      </w:r>
      <w:r>
        <w:rPr>
          <w:rFonts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rPr>
        <w:t xml:space="preserve">  </w:t>
      </w:r>
      <w:r>
        <w:rPr>
          <w:rFonts w:ascii="仿宋" w:hAnsi="仿宋" w:eastAsia="仿宋"/>
          <w:color w:val="auto"/>
          <w:spacing w:val="10"/>
          <w:sz w:val="32"/>
          <w:szCs w:val="32"/>
          <w:u w:val="none"/>
        </w:rPr>
        <w:t xml:space="preserve"> </w:t>
      </w:r>
      <w:r>
        <w:rPr>
          <w:rFonts w:hint="eastAsia" w:ascii="仿宋" w:hAnsi="仿宋" w:eastAsia="仿宋"/>
          <w:color w:val="auto"/>
          <w:spacing w:val="10"/>
          <w:sz w:val="32"/>
          <w:szCs w:val="32"/>
        </w:rPr>
        <w:t>身份证号：</w:t>
      </w:r>
      <w:r>
        <w:rPr>
          <w:rFonts w:hint="eastAsia" w:ascii="仿宋" w:hAnsi="仿宋" w:eastAsia="仿宋"/>
          <w:color w:val="auto"/>
          <w:spacing w:val="1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四、代理期限</w:t>
      </w:r>
    </w:p>
    <w:p>
      <w:pPr>
        <w:keepNext w:val="0"/>
        <w:keepLines w:val="0"/>
        <w:pageBreakBefore w:val="0"/>
        <w:widowControl w:val="0"/>
        <w:numPr>
          <w:ilvl w:val="0"/>
          <w:numId w:val="10"/>
        </w:numPr>
        <w:tabs>
          <w:tab w:val="clear" w:pos="1500"/>
        </w:tabs>
        <w:kinsoku/>
        <w:wordWrap/>
        <w:overflowPunct/>
        <w:topLinePunct w:val="0"/>
        <w:autoSpaceDE/>
        <w:autoSpaceDN/>
        <w:bidi w:val="0"/>
        <w:adjustRightInd/>
        <w:snapToGrid/>
        <w:spacing w:line="240" w:lineRule="auto"/>
        <w:ind w:left="0" w:leftChars="0" w:firstLine="564" w:firstLineChars="166"/>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乙方的代理期限为：自本合同</w:t>
      </w:r>
      <w:r>
        <w:rPr>
          <w:rFonts w:hint="eastAsia" w:ascii="仿宋" w:hAnsi="仿宋" w:eastAsia="仿宋"/>
          <w:color w:val="auto"/>
          <w:spacing w:val="10"/>
          <w:sz w:val="32"/>
          <w:szCs w:val="32"/>
          <w:lang w:eastAsia="zh-CN"/>
        </w:rPr>
        <w:t>签订</w:t>
      </w:r>
      <w:r>
        <w:rPr>
          <w:rFonts w:hint="eastAsia" w:ascii="仿宋" w:hAnsi="仿宋" w:eastAsia="仿宋"/>
          <w:color w:val="auto"/>
          <w:spacing w:val="10"/>
          <w:sz w:val="32"/>
          <w:szCs w:val="32"/>
        </w:rPr>
        <w:t>之日起，至乙方全面完成本合同“三、委托代理范围”内的</w:t>
      </w:r>
      <w:r>
        <w:rPr>
          <w:rFonts w:hint="eastAsia" w:ascii="仿宋" w:hAnsi="仿宋" w:eastAsia="仿宋"/>
          <w:color w:val="auto"/>
          <w:spacing w:val="10"/>
          <w:sz w:val="32"/>
          <w:szCs w:val="32"/>
          <w:lang w:val="en-US" w:eastAsia="zh-Hans"/>
        </w:rPr>
        <w:t>所有委托代理</w:t>
      </w:r>
      <w:r>
        <w:rPr>
          <w:rFonts w:hint="eastAsia" w:ascii="仿宋" w:hAnsi="仿宋" w:eastAsia="仿宋"/>
          <w:color w:val="auto"/>
          <w:spacing w:val="10"/>
          <w:sz w:val="32"/>
          <w:szCs w:val="32"/>
        </w:rPr>
        <w:t>事项止。</w:t>
      </w:r>
    </w:p>
    <w:p>
      <w:pPr>
        <w:keepNext w:val="0"/>
        <w:keepLines w:val="0"/>
        <w:pageBreakBefore w:val="0"/>
        <w:widowControl w:val="0"/>
        <w:numPr>
          <w:ilvl w:val="0"/>
          <w:numId w:val="10"/>
        </w:numPr>
        <w:tabs>
          <w:tab w:val="left" w:pos="0"/>
          <w:tab w:val="clear" w:pos="1500"/>
        </w:tabs>
        <w:kinsoku/>
        <w:wordWrap/>
        <w:overflowPunct/>
        <w:topLinePunct w:val="0"/>
        <w:autoSpaceDE/>
        <w:autoSpaceDN/>
        <w:bidi w:val="0"/>
        <w:adjustRightInd/>
        <w:snapToGrid/>
        <w:spacing w:line="240" w:lineRule="auto"/>
        <w:ind w:left="0" w:leftChars="0" w:firstLine="564" w:firstLineChars="166"/>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在本合同有效代理期限内，甲方不得再另行委托其他招标代理机构代理本项目的招标工作</w:t>
      </w:r>
      <w:r>
        <w:rPr>
          <w:rFonts w:hint="default" w:ascii="仿宋" w:hAnsi="仿宋" w:eastAsia="仿宋"/>
          <w:color w:val="auto"/>
          <w:spacing w:val="10"/>
          <w:sz w:val="32"/>
          <w:szCs w:val="32"/>
        </w:rPr>
        <w:t>，</w:t>
      </w:r>
      <w:r>
        <w:rPr>
          <w:rFonts w:hint="eastAsia" w:ascii="仿宋" w:hAnsi="仿宋" w:eastAsia="仿宋"/>
          <w:color w:val="auto"/>
          <w:spacing w:val="10"/>
          <w:sz w:val="32"/>
          <w:szCs w:val="32"/>
        </w:rPr>
        <w:t>乙方的代理资格不满足该项目要求的除外。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五、权利和义务</w:t>
      </w:r>
    </w:p>
    <w:p>
      <w:pPr>
        <w:keepNext w:val="0"/>
        <w:keepLines w:val="0"/>
        <w:pageBreakBefore w:val="0"/>
        <w:widowControl w:val="0"/>
        <w:numPr>
          <w:ilvl w:val="0"/>
          <w:numId w:val="11"/>
        </w:numPr>
        <w:tabs>
          <w:tab w:val="left" w:pos="0"/>
          <w:tab w:val="clear" w:pos="1530"/>
        </w:tabs>
        <w:kinsoku/>
        <w:wordWrap/>
        <w:overflowPunct/>
        <w:topLinePunct w:val="0"/>
        <w:autoSpaceDE/>
        <w:autoSpaceDN/>
        <w:bidi w:val="0"/>
        <w:adjustRightInd/>
        <w:snapToGrid/>
        <w:spacing w:line="240" w:lineRule="auto"/>
        <w:ind w:left="0" w:leftChars="0" w:firstLine="564" w:firstLineChars="166"/>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甲方的权利和义务</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按规定办理有关项目的审批、核准和备案手续；</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向乙方提供有关本次招标的相关文件和资料（如项目批文，技术资料、图纸等），包括向乙方介绍项目内容和筹备情况，并做到真实、准确、合法和完整；</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与乙方共同商定招标有关事宜，并密切配合乙方开展招标工作；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72" w:firstLineChars="200"/>
        <w:textAlignment w:val="auto"/>
        <w:rPr>
          <w:rFonts w:hint="eastAsia" w:ascii="仿宋" w:hAnsi="仿宋" w:eastAsia="仿宋"/>
          <w:color w:val="auto"/>
          <w:spacing w:val="8"/>
          <w:sz w:val="32"/>
          <w:szCs w:val="32"/>
        </w:rPr>
      </w:pPr>
      <w:r>
        <w:rPr>
          <w:rFonts w:hint="eastAsia" w:ascii="仿宋" w:hAnsi="仿宋" w:eastAsia="仿宋"/>
          <w:color w:val="auto"/>
          <w:spacing w:val="8"/>
          <w:sz w:val="32"/>
          <w:szCs w:val="32"/>
        </w:rPr>
        <w:t>对乙方拟订的招标公告（资格预审公告）、编制的招标文件（资格预审文件）及其他各种文件提出修改、予以审核、批准或认可；</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授权由乙方向中标人发出中标通知书，向未中标的投标人发出中标结果通知书；</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依法确定中标人和签订承包合同；</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在本合同生效后，双方未依法解除或协议解除本合同前，不得再另行委托其他代理机构代理本项目的招标工作；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72" w:firstLineChars="200"/>
        <w:textAlignment w:val="auto"/>
        <w:rPr>
          <w:rFonts w:hint="eastAsia" w:ascii="仿宋" w:hAnsi="仿宋" w:eastAsia="仿宋"/>
          <w:color w:val="auto"/>
          <w:spacing w:val="8"/>
          <w:sz w:val="32"/>
          <w:szCs w:val="32"/>
        </w:rPr>
      </w:pPr>
      <w:r>
        <w:rPr>
          <w:rFonts w:hint="eastAsia" w:ascii="仿宋" w:hAnsi="仿宋" w:eastAsia="仿宋"/>
          <w:color w:val="auto"/>
          <w:spacing w:val="8"/>
          <w:sz w:val="32"/>
          <w:szCs w:val="32"/>
        </w:rPr>
        <w:t>根据合同的约定，及时、足额向乙方支付（或协助支付）招标代理服务费；</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接受有关部门依法实施的监督。</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乙方的权利和义务</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遵守国家法律、法规和四川省的有关规定，按照项目审批部门的核准要求，认真履行代理职责，保证代理行为及招标全过程的真实、合法、规范、有效和公正；</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维护招标人的合法权益，对违法的代理事项和要求予以拒绝并作出解释；</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保证全面完成本合同双方约定的委托事项，在甲方委托的范围内办理招标事宜，符合甲方的技术、质量要求；</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及时将委托事务的开展情况和招标投标备案情况向委托人（甲方）报告，保证招标工作的顺利完成；</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与招标有关的所有文件发出前应送甲方审查同意；</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严格按《四川省国家投资工程建设项目招标投标条例》第十三条规定向发展改革部门和其他招标投标行政主管部门履行招标投标情况的备案手续，上一步没有备案的不得进行下一步招标工作；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不得超越甲方委托范围开展工作，更不得非法转让委托；</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自觉接受有关部门依法实施的监督，有关部门在职权范围内因监督事项要求提供有关资料的，应当积极提供；</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乙方不得收受投标人的财物或其他好处，不得泄露招标、投标、评标、定标过程中依法需要保密的内容和资料；</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乙方为本合同提供技术服务的知识产权应属乙方专有。委托事项全部完成后，负责向甲方提供本次招标的完整档案资料，乙方也应至少留存一份，以备检查；</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切实履行在《代理申请书》中承诺的事项（义务）；</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leftChars="0" w:firstLine="664" w:firstLineChars="200"/>
        <w:textAlignment w:val="auto"/>
        <w:rPr>
          <w:rFonts w:hint="eastAsia" w:ascii="仿宋" w:hAnsi="仿宋" w:eastAsia="仿宋"/>
          <w:color w:val="auto"/>
          <w:spacing w:val="6"/>
          <w:sz w:val="32"/>
          <w:szCs w:val="32"/>
        </w:rPr>
      </w:pPr>
      <w:r>
        <w:rPr>
          <w:rFonts w:hint="eastAsia" w:ascii="仿宋" w:hAnsi="仿宋" w:eastAsia="仿宋"/>
          <w:color w:val="auto"/>
          <w:spacing w:val="6"/>
          <w:sz w:val="32"/>
          <w:szCs w:val="32"/>
        </w:rPr>
        <w:t>收取约定的招标代理服务费。向招标人、投标人或者中标人收取费用必须符合规定和要求。</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六、招标代理服务费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（一）招标代理服务收费采用差额定率累进计费方式。收费按《招标代理服务收费标准》之【</w:t>
      </w:r>
      <w:r>
        <w:rPr>
          <w:rFonts w:hint="eastAsia" w:ascii="仿宋" w:hAnsi="仿宋" w:eastAsia="仿宋"/>
          <w:color w:val="auto"/>
          <w:sz w:val="32"/>
          <w:szCs w:val="32"/>
        </w:rPr>
        <w:t>叁</w:t>
      </w:r>
      <w:r>
        <w:rPr>
          <w:rFonts w:hint="eastAsia" w:ascii="仿宋" w:hAnsi="仿宋" w:eastAsia="仿宋"/>
          <w:color w:val="auto"/>
          <w:spacing w:val="10"/>
          <w:sz w:val="32"/>
          <w:szCs w:val="32"/>
        </w:rPr>
        <w:t>】收取。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【壹】规定收费标准；【贰】规定收费标准上浮</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【叁】规定收费标准下浮</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（收费的依据为2002年10月15日国家计委印发的《招标代理服务收费管理暂行办法》</w:t>
      </w:r>
      <w:r>
        <w:rPr>
          <w:rFonts w:hint="eastAsia" w:ascii="仿宋" w:hAnsi="仿宋" w:eastAsia="仿宋"/>
          <w:color w:val="auto"/>
          <w:spacing w:val="10"/>
          <w:sz w:val="32"/>
          <w:szCs w:val="32"/>
          <w:lang w:eastAsia="zh-CN"/>
        </w:rPr>
        <w:t>(</w:t>
      </w:r>
      <w:r>
        <w:rPr>
          <w:rFonts w:hint="eastAsia" w:ascii="仿宋" w:hAnsi="仿宋" w:eastAsia="仿宋"/>
          <w:color w:val="auto"/>
          <w:spacing w:val="10"/>
          <w:sz w:val="32"/>
          <w:szCs w:val="32"/>
        </w:rPr>
        <w:t>计价格[2002]1980号</w:t>
      </w:r>
      <w:r>
        <w:rPr>
          <w:rFonts w:hint="eastAsia" w:ascii="仿宋" w:hAnsi="仿宋" w:eastAsia="仿宋"/>
          <w:color w:val="auto"/>
          <w:spacing w:val="10"/>
          <w:sz w:val="32"/>
          <w:szCs w:val="32"/>
          <w:lang w:eastAsia="zh-CN"/>
        </w:rPr>
        <w:t>）</w:t>
      </w:r>
      <w:r>
        <w:rPr>
          <w:rFonts w:hint="eastAsia" w:ascii="仿宋" w:hAnsi="仿宋" w:eastAsia="仿宋"/>
          <w:color w:val="auto"/>
          <w:spacing w:val="10"/>
          <w:sz w:val="32"/>
          <w:szCs w:val="32"/>
        </w:rPr>
        <w:t>和2003年9月15日</w:t>
      </w:r>
      <w:r>
        <w:rPr>
          <w:rFonts w:hint="eastAsia" w:ascii="仿宋" w:hAnsi="仿宋" w:eastAsia="仿宋"/>
          <w:color w:val="auto"/>
          <w:spacing w:val="8"/>
          <w:sz w:val="32"/>
          <w:szCs w:val="32"/>
        </w:rPr>
        <w:t>《国家发展改革委办公厅关于招标代理服务收费有关问题的通知》</w:t>
      </w:r>
      <w:r>
        <w:rPr>
          <w:rFonts w:hint="eastAsia" w:ascii="仿宋" w:hAnsi="仿宋" w:eastAsia="仿宋"/>
          <w:color w:val="auto"/>
          <w:spacing w:val="8"/>
          <w:sz w:val="32"/>
          <w:szCs w:val="32"/>
          <w:lang w:eastAsia="zh-CN"/>
        </w:rPr>
        <w:t>（</w:t>
      </w:r>
      <w:r>
        <w:rPr>
          <w:rFonts w:hint="eastAsia" w:ascii="仿宋" w:hAnsi="仿宋" w:eastAsia="仿宋"/>
          <w:color w:val="auto"/>
          <w:spacing w:val="8"/>
          <w:sz w:val="32"/>
          <w:szCs w:val="32"/>
        </w:rPr>
        <w:t>发改办价格[2003]857号</w:t>
      </w:r>
      <w:r>
        <w:rPr>
          <w:rFonts w:hint="eastAsia" w:ascii="仿宋" w:hAnsi="仿宋" w:eastAsia="仿宋"/>
          <w:color w:val="auto"/>
          <w:spacing w:val="8"/>
          <w:sz w:val="32"/>
          <w:szCs w:val="32"/>
          <w:lang w:eastAsia="zh-CN"/>
        </w:rPr>
        <w:t>）</w:t>
      </w:r>
      <w:r>
        <w:rPr>
          <w:rFonts w:hint="eastAsia" w:ascii="仿宋" w:hAnsi="仿宋" w:eastAsia="仿宋"/>
          <w:color w:val="auto"/>
          <w:spacing w:val="8"/>
          <w:sz w:val="32"/>
          <w:szCs w:val="32"/>
        </w:rPr>
        <w:t>。</w:t>
      </w:r>
      <w:r>
        <w:rPr>
          <w:rFonts w:hint="eastAsia" w:ascii="仿宋" w:hAnsi="仿宋" w:eastAsia="仿宋"/>
          <w:color w:val="auto"/>
          <w:spacing w:val="10"/>
          <w:sz w:val="32"/>
          <w:szCs w:val="32"/>
        </w:rPr>
        <w:t>公开比选的必须以乙方在《代理申请书》中的“招标代理服务收费报价”为准，另行约定的无效）。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（二）招标代理服务费在招标人与中标的投标人签订《承包合同》并按规定备案后5</w:t>
      </w:r>
      <w:r>
        <w:rPr>
          <w:rFonts w:hint="eastAsia" w:ascii="仿宋" w:hAnsi="仿宋" w:eastAsia="仿宋"/>
          <w:color w:val="auto"/>
          <w:spacing w:val="10"/>
          <w:sz w:val="32"/>
          <w:szCs w:val="32"/>
          <w:lang w:val="en-US" w:eastAsia="zh-Hans"/>
        </w:rPr>
        <w:t>个工作</w:t>
      </w:r>
      <w:r>
        <w:rPr>
          <w:rFonts w:hint="eastAsia" w:ascii="仿宋" w:hAnsi="仿宋" w:eastAsia="仿宋"/>
          <w:color w:val="auto"/>
          <w:spacing w:val="10"/>
          <w:sz w:val="32"/>
          <w:szCs w:val="32"/>
        </w:rPr>
        <w:t>日内一次性付清。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分阶段或分标段招标的，完成一阶段或一部分标段可分批分期支付。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依法必须招标的项目，两次招标失败后，采用比选等方式确定承包人的，合同签订并按规定备案后五日内一次性支付。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（三）因招标代理机构的过错造成招标、评标、中标无效的，招标代理费不予支付并由乙方承担相应法律责任</w:t>
      </w:r>
      <w:r>
        <w:rPr>
          <w:rFonts w:hint="eastAsia" w:ascii="仿宋" w:hAnsi="仿宋" w:eastAsia="仿宋"/>
          <w:color w:val="auto"/>
          <w:spacing w:val="10"/>
          <w:sz w:val="32"/>
          <w:szCs w:val="32"/>
          <w:lang w:val="en-US" w:eastAsia="zh-Hans"/>
        </w:rPr>
        <w:t>和由此给甲方造成的损失</w:t>
      </w:r>
      <w:r>
        <w:rPr>
          <w:rFonts w:hint="eastAsia" w:ascii="仿宋" w:hAnsi="仿宋" w:eastAsia="仿宋"/>
          <w:color w:val="auto"/>
          <w:spacing w:val="1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（四）乙方按规定收取代理费用和按规定出售招标文件（不含所附的设计文件）后，不得再要求甲方无偿提供食宿、交通等费用或收取其他</w:t>
      </w:r>
      <w:r>
        <w:rPr>
          <w:rFonts w:hint="eastAsia" w:ascii="仿宋" w:hAnsi="仿宋" w:eastAsia="仿宋"/>
          <w:color w:val="auto"/>
          <w:spacing w:val="10"/>
          <w:sz w:val="32"/>
          <w:szCs w:val="32"/>
          <w:lang w:val="en-US" w:eastAsia="zh-Hans"/>
        </w:rPr>
        <w:t>任何</w:t>
      </w:r>
      <w:r>
        <w:rPr>
          <w:rFonts w:hint="eastAsia" w:ascii="仿宋" w:hAnsi="仿宋" w:eastAsia="仿宋"/>
          <w:color w:val="auto"/>
          <w:spacing w:val="10"/>
          <w:sz w:val="32"/>
          <w:szCs w:val="32"/>
        </w:rPr>
        <w:t>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（五）代理项目招标过程中发生的下列相关费用由乙方承担：</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公告（招标信息）发布费用；</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72" w:firstLineChars="200"/>
        <w:textAlignment w:val="auto"/>
        <w:rPr>
          <w:rFonts w:hint="eastAsia" w:ascii="仿宋" w:hAnsi="仿宋" w:eastAsia="仿宋"/>
          <w:color w:val="auto"/>
          <w:spacing w:val="8"/>
          <w:sz w:val="32"/>
          <w:szCs w:val="32"/>
        </w:rPr>
      </w:pPr>
      <w:r>
        <w:rPr>
          <w:rFonts w:hint="eastAsia" w:ascii="仿宋" w:hAnsi="仿宋" w:eastAsia="仿宋"/>
          <w:color w:val="auto"/>
          <w:spacing w:val="8"/>
          <w:sz w:val="32"/>
          <w:szCs w:val="32"/>
        </w:rPr>
        <w:t>编制招标文件（包括资格预审文件和资格预审结果）、评标报告，组织审查投标人资格，组织投标人踏勘现场并答疑，组织开标、评标、定标活动，协调合同签订等的费用；</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评标专家的评标（评审）费用；</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招标会务、资料、食宿、交通等费用，但甲方人员发生的费用由甲方自行承担；</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72" w:firstLineChars="200"/>
        <w:textAlignment w:val="auto"/>
        <w:rPr>
          <w:rFonts w:hint="eastAsia" w:ascii="仿宋" w:hAnsi="仿宋" w:eastAsia="仿宋"/>
          <w:color w:val="auto"/>
          <w:spacing w:val="8"/>
          <w:sz w:val="32"/>
          <w:szCs w:val="32"/>
        </w:rPr>
      </w:pPr>
      <w:r>
        <w:rPr>
          <w:rFonts w:hint="eastAsia" w:ascii="仿宋" w:hAnsi="仿宋" w:eastAsia="仿宋"/>
          <w:color w:val="auto"/>
          <w:spacing w:val="8"/>
          <w:sz w:val="32"/>
          <w:szCs w:val="32"/>
        </w:rPr>
        <w:t>开标、评标场地费及规费，包括有形建筑市场（建设工程交易中心）建设工程交易服务收费中应由招标人（发包方）支付的部分；</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680" w:firstLineChars="200"/>
        <w:textAlignment w:val="auto"/>
        <w:rPr>
          <w:rFonts w:hint="eastAsia"/>
          <w:color w:val="auto"/>
          <w:sz w:val="32"/>
          <w:szCs w:val="32"/>
        </w:rPr>
      </w:pPr>
      <w:r>
        <w:rPr>
          <w:rFonts w:hint="eastAsia" w:ascii="仿宋" w:hAnsi="仿宋" w:eastAsia="仿宋"/>
          <w:color w:val="auto"/>
          <w:spacing w:val="10"/>
          <w:sz w:val="32"/>
          <w:szCs w:val="32"/>
        </w:rPr>
        <w:t>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32"/>
          <w:szCs w:val="32"/>
        </w:rPr>
      </w:pPr>
      <w:r>
        <w:rPr>
          <w:rFonts w:hint="eastAsia" w:eastAsia="黑体"/>
          <w:b/>
          <w:bCs/>
          <w:color w:val="auto"/>
          <w:sz w:val="32"/>
          <w:szCs w:val="32"/>
        </w:rPr>
        <w:t>七、合同的变更和解除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（一）在本合同有效代理期限内，发生下列情形之一的，甲乙双方应解除代理关系：</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因不可抗力致使委托招标的项目不可能实现的；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委托招标的项目被国家有关行政审批部门依法撤消的；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任何一方丧失民事行为能力或者破产的；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招标代理机构不具有相应资质的；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因招标代理机构的故意或过失，导致招标、评标、中标无效的；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乙方被市场禁入的；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lang w:val="en-US" w:eastAsia="zh-Hans"/>
        </w:rPr>
      </w:pPr>
      <w:r>
        <w:rPr>
          <w:rFonts w:hint="eastAsia" w:ascii="仿宋" w:hAnsi="仿宋" w:eastAsia="仿宋"/>
          <w:color w:val="auto"/>
          <w:spacing w:val="10"/>
          <w:sz w:val="32"/>
          <w:szCs w:val="32"/>
        </w:rPr>
        <w:t>有证据证明招标代理机构损害（包括作为或不作为）招标人利益或给招标人的合法权益造成重大损失的；</w:t>
      </w:r>
    </w:p>
    <w:p>
      <w:pPr>
        <w:keepNext w:val="0"/>
        <w:keepLines w:val="0"/>
        <w:pageBreakBefore w:val="0"/>
        <w:widowControl w:val="0"/>
        <w:numPr>
          <w:ilvl w:val="0"/>
          <w:numId w:val="14"/>
        </w:numPr>
        <w:tabs>
          <w:tab w:val="clear" w:pos="1200"/>
        </w:tabs>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除上述7种情形</w:t>
      </w:r>
      <w:r>
        <w:rPr>
          <w:rFonts w:hint="eastAsia" w:ascii="仿宋" w:hAnsi="仿宋" w:eastAsia="仿宋"/>
          <w:color w:val="auto"/>
          <w:spacing w:val="10"/>
          <w:sz w:val="32"/>
          <w:szCs w:val="32"/>
          <w:lang w:val="en-US" w:eastAsia="zh-Hans"/>
        </w:rPr>
        <w:t>甲方可单方终止本合同</w:t>
      </w:r>
      <w:r>
        <w:rPr>
          <w:rFonts w:hint="eastAsia" w:ascii="仿宋" w:hAnsi="仿宋" w:eastAsia="仿宋"/>
          <w:color w:val="auto"/>
          <w:spacing w:val="10"/>
          <w:sz w:val="32"/>
          <w:szCs w:val="32"/>
        </w:rPr>
        <w:t>外，</w:t>
      </w:r>
      <w:r>
        <w:rPr>
          <w:rFonts w:hint="eastAsia" w:ascii="仿宋" w:hAnsi="仿宋" w:eastAsia="仿宋"/>
          <w:color w:val="auto"/>
          <w:spacing w:val="10"/>
          <w:sz w:val="32"/>
          <w:szCs w:val="32"/>
          <w:lang w:val="en-US" w:eastAsia="zh-Hans"/>
        </w:rPr>
        <w:t>其他</w:t>
      </w:r>
      <w:r>
        <w:rPr>
          <w:rFonts w:hint="default" w:ascii="仿宋" w:hAnsi="仿宋" w:eastAsia="仿宋"/>
          <w:color w:val="auto"/>
          <w:spacing w:val="10"/>
          <w:sz w:val="32"/>
          <w:szCs w:val="32"/>
          <w:lang w:eastAsia="zh-Hans"/>
        </w:rPr>
        <w:t>6</w:t>
      </w:r>
      <w:r>
        <w:rPr>
          <w:rFonts w:hint="eastAsia" w:ascii="仿宋" w:hAnsi="仿宋" w:eastAsia="仿宋"/>
          <w:color w:val="auto"/>
          <w:spacing w:val="10"/>
          <w:sz w:val="32"/>
          <w:szCs w:val="32"/>
          <w:lang w:val="en-US" w:eastAsia="zh-Hans"/>
        </w:rPr>
        <w:t>种情形下</w:t>
      </w:r>
      <w:r>
        <w:rPr>
          <w:rFonts w:hint="eastAsia" w:ascii="仿宋" w:hAnsi="仿宋" w:eastAsia="仿宋"/>
          <w:color w:val="auto"/>
          <w:spacing w:val="10"/>
          <w:sz w:val="32"/>
          <w:szCs w:val="32"/>
        </w:rPr>
        <w:t>任何一方不得单方面终止本合同。</w:t>
      </w:r>
    </w:p>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（二）甲乙双方协商一致可以终止本合同。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（三）合同终止后，尚未履行的，终止履行；已经履行的，除不可抗力因素外，根据履行情况和解除原因，无过错方有权要求对方赔偿损失。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（四）</w:t>
      </w:r>
      <w:r>
        <w:rPr>
          <w:rFonts w:hint="eastAsia" w:ascii="仿宋" w:hAnsi="仿宋" w:eastAsia="仿宋"/>
          <w:color w:val="auto"/>
          <w:spacing w:val="4"/>
          <w:sz w:val="32"/>
          <w:szCs w:val="32"/>
        </w:rPr>
        <w:t>合同终止后，有未完成的招标事项，除经原项目</w:t>
      </w:r>
      <w:r>
        <w:rPr>
          <w:rFonts w:hint="eastAsia" w:ascii="仿宋" w:hAnsi="仿宋" w:eastAsia="仿宋"/>
          <w:color w:val="auto"/>
          <w:spacing w:val="6"/>
          <w:sz w:val="32"/>
          <w:szCs w:val="32"/>
        </w:rPr>
        <w:t>审</w:t>
      </w:r>
      <w:r>
        <w:rPr>
          <w:rFonts w:hint="eastAsia" w:ascii="仿宋" w:hAnsi="仿宋" w:eastAsia="仿宋"/>
          <w:color w:val="auto"/>
          <w:spacing w:val="8"/>
          <w:sz w:val="32"/>
          <w:szCs w:val="32"/>
        </w:rPr>
        <w:t>批部门同意甲方有特殊情况可自行完成的外，甲方应重新通过比选确定招标代理机构。乙方不得再参加该项目的比选。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八、违约责任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（一）甲方违约：因甲方违约而导致合同解除的，已支付了的招标代理服务费无权收回；尚未支付的，由甲方按合同约定的代理服务费全额赔偿乙方。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（二）乙方违约：因乙方违约而导致合同解除的，如果乙方已收取了代理服务费，应全部退还并按合同约定的代理服务费全额赔偿甲方；乙方尚未收取的，则按合同约定的代理服务费全额赔偿甲方。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因乙方的违约行为而受到行政处罚的，由乙方自行承担；由此给甲方造成损失的，还应当赔偿损失。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（三）双方都有违约行为的，各自承担相应的责任。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（四）不可抗力：</w:t>
      </w:r>
    </w:p>
    <w:p>
      <w:pPr>
        <w:keepNext w:val="0"/>
        <w:keepLines w:val="0"/>
        <w:pageBreakBefore w:val="0"/>
        <w:widowControl w:val="0"/>
        <w:numPr>
          <w:ilvl w:val="1"/>
          <w:numId w:val="15"/>
        </w:numPr>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因不可抗力致使合同无法履行，双方互不承担责任，可协商延长合同履行的期限或解除合同。</w:t>
      </w:r>
    </w:p>
    <w:p>
      <w:pPr>
        <w:keepNext w:val="0"/>
        <w:keepLines w:val="0"/>
        <w:pageBreakBefore w:val="0"/>
        <w:widowControl w:val="0"/>
        <w:numPr>
          <w:ilvl w:val="1"/>
          <w:numId w:val="15"/>
        </w:numPr>
        <w:kinsoku/>
        <w:wordWrap/>
        <w:overflowPunct/>
        <w:topLinePunct w:val="0"/>
        <w:autoSpaceDE/>
        <w:autoSpaceDN/>
        <w:bidi w:val="0"/>
        <w:adjustRightInd/>
        <w:snapToGrid/>
        <w:spacing w:line="240" w:lineRule="auto"/>
        <w:ind w:left="0" w:leftChars="0" w:firstLine="84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受影响的一方应在不可抗力事由发生后</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u w:val="single"/>
          <w:lang w:eastAsia="zh-CN"/>
        </w:rPr>
        <w:t>五</w:t>
      </w:r>
      <w:r>
        <w:rPr>
          <w:rFonts w:hint="eastAsia" w:ascii="仿宋" w:hAnsi="仿宋" w:eastAsia="仿宋"/>
          <w:color w:val="auto"/>
          <w:spacing w:val="10"/>
          <w:sz w:val="32"/>
          <w:szCs w:val="32"/>
          <w:u w:val="single"/>
        </w:rPr>
        <w:t xml:space="preserve"> </w:t>
      </w:r>
      <w:r>
        <w:rPr>
          <w:rFonts w:hint="eastAsia" w:ascii="仿宋" w:hAnsi="仿宋" w:eastAsia="仿宋"/>
          <w:color w:val="auto"/>
          <w:spacing w:val="10"/>
          <w:sz w:val="32"/>
          <w:szCs w:val="32"/>
        </w:rPr>
        <w:t>日内（如三日、五日）通知对方，若因延时通知给对方造成损失的，应予赔偿。</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黑体"/>
          <w:b/>
          <w:bCs/>
          <w:color w:val="auto"/>
          <w:sz w:val="32"/>
          <w:szCs w:val="32"/>
        </w:rPr>
      </w:pPr>
      <w:r>
        <w:rPr>
          <w:rFonts w:hint="eastAsia" w:eastAsia="黑体"/>
          <w:b/>
          <w:bCs/>
          <w:color w:val="auto"/>
          <w:sz w:val="32"/>
          <w:szCs w:val="32"/>
        </w:rPr>
        <w:t>九、争议的解决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（一）甲方和乙方如在合同履行过程中发生争议，应本着诚实信用的原则友好协商解决，也可以请求有关行政主管部门调解。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（二）如对合同的条文理解发生歧义，</w:t>
      </w:r>
      <w:r>
        <w:rPr>
          <w:rFonts w:hint="eastAsia" w:ascii="仿宋" w:hAnsi="仿宋" w:eastAsia="仿宋"/>
          <w:color w:val="auto"/>
          <w:spacing w:val="10"/>
          <w:sz w:val="32"/>
          <w:szCs w:val="32"/>
          <w:lang w:val="en-US" w:eastAsia="zh-Hans"/>
        </w:rPr>
        <w:t>甲乙</w:t>
      </w:r>
      <w:r>
        <w:rPr>
          <w:rFonts w:hint="eastAsia" w:ascii="仿宋" w:hAnsi="仿宋" w:eastAsia="仿宋"/>
          <w:color w:val="auto"/>
          <w:spacing w:val="10"/>
          <w:sz w:val="32"/>
          <w:szCs w:val="32"/>
        </w:rPr>
        <w:t>双方约定由《代理合同》规范文本制定部门作出解释（甲乙双方约定的补充条款、法律法规规定的除外）。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highlight w:val="none"/>
        </w:rPr>
      </w:pPr>
      <w:r>
        <w:rPr>
          <w:rFonts w:hint="eastAsia" w:ascii="仿宋" w:hAnsi="仿宋" w:eastAsia="仿宋"/>
          <w:color w:val="auto"/>
          <w:spacing w:val="10"/>
          <w:sz w:val="32"/>
          <w:szCs w:val="32"/>
        </w:rPr>
        <w:t>（三）如通过上述办法不能解决争端，双方同意采用下</w:t>
      </w:r>
      <w:r>
        <w:rPr>
          <w:rFonts w:hint="eastAsia" w:ascii="仿宋" w:hAnsi="仿宋" w:eastAsia="仿宋"/>
          <w:color w:val="auto"/>
          <w:spacing w:val="10"/>
          <w:sz w:val="32"/>
          <w:szCs w:val="32"/>
          <w:highlight w:val="none"/>
        </w:rPr>
        <w:t>列第【</w:t>
      </w:r>
      <w:r>
        <w:rPr>
          <w:rFonts w:hint="eastAsia" w:ascii="仿宋" w:hAnsi="仿宋" w:eastAsia="仿宋"/>
          <w:color w:val="auto"/>
          <w:spacing w:val="10"/>
          <w:sz w:val="32"/>
          <w:szCs w:val="32"/>
        </w:rPr>
        <w:t>贰</w:t>
      </w:r>
      <w:r>
        <w:rPr>
          <w:rFonts w:hint="eastAsia" w:ascii="仿宋" w:hAnsi="仿宋" w:eastAsia="仿宋"/>
          <w:color w:val="auto"/>
          <w:spacing w:val="10"/>
          <w:sz w:val="32"/>
          <w:szCs w:val="32"/>
          <w:highlight w:val="none"/>
        </w:rPr>
        <w:t>】种方式解决争议：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1020" w:firstLineChars="300"/>
        <w:textAlignment w:val="auto"/>
        <w:rPr>
          <w:rFonts w:hint="eastAsia" w:ascii="仿宋" w:hAnsi="仿宋" w:eastAsia="仿宋"/>
          <w:color w:val="auto"/>
          <w:spacing w:val="10"/>
          <w:sz w:val="32"/>
          <w:szCs w:val="32"/>
          <w:highlight w:val="none"/>
        </w:rPr>
      </w:pPr>
      <w:r>
        <w:rPr>
          <w:rFonts w:hint="eastAsia" w:ascii="仿宋" w:hAnsi="仿宋" w:eastAsia="仿宋"/>
          <w:color w:val="auto"/>
          <w:spacing w:val="10"/>
          <w:sz w:val="32"/>
          <w:szCs w:val="32"/>
          <w:highlight w:val="none"/>
        </w:rPr>
        <w:t>【壹】双方自愿提交</w:t>
      </w:r>
      <w:r>
        <w:rPr>
          <w:rFonts w:hint="eastAsia" w:ascii="仿宋" w:hAnsi="仿宋" w:eastAsia="仿宋"/>
          <w:color w:val="auto"/>
          <w:spacing w:val="10"/>
          <w:sz w:val="32"/>
          <w:szCs w:val="32"/>
          <w:highlight w:val="none"/>
          <w:u w:val="single"/>
        </w:rPr>
        <w:t xml:space="preserve">  </w:t>
      </w:r>
      <w:r>
        <w:rPr>
          <w:rFonts w:hint="eastAsia" w:ascii="仿宋" w:hAnsi="仿宋" w:eastAsia="仿宋"/>
          <w:color w:val="auto"/>
          <w:spacing w:val="10"/>
          <w:sz w:val="32"/>
          <w:szCs w:val="32"/>
          <w:highlight w:val="none"/>
          <w:u w:val="single"/>
          <w:lang w:val="en-US" w:eastAsia="zh-CN"/>
        </w:rPr>
        <w:t xml:space="preserve">  /  </w:t>
      </w:r>
      <w:r>
        <w:rPr>
          <w:rFonts w:hint="eastAsia" w:ascii="仿宋" w:hAnsi="仿宋" w:eastAsia="仿宋"/>
          <w:color w:val="auto"/>
          <w:spacing w:val="10"/>
          <w:sz w:val="32"/>
          <w:szCs w:val="32"/>
          <w:highlight w:val="none"/>
          <w:u w:val="single"/>
        </w:rPr>
        <w:t xml:space="preserve">  </w:t>
      </w:r>
      <w:r>
        <w:rPr>
          <w:rFonts w:hint="eastAsia" w:ascii="仿宋" w:hAnsi="仿宋" w:eastAsia="仿宋"/>
          <w:color w:val="auto"/>
          <w:spacing w:val="10"/>
          <w:sz w:val="32"/>
          <w:szCs w:val="32"/>
          <w:highlight w:val="none"/>
        </w:rPr>
        <w:t>（仲裁机构名称，如成都仲裁委员会）仲裁；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1020" w:firstLineChars="3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【贰】依法向</w:t>
      </w:r>
      <w:r>
        <w:rPr>
          <w:rFonts w:hint="eastAsia" w:ascii="仿宋" w:hAnsi="仿宋" w:eastAsia="仿宋"/>
          <w:color w:val="auto"/>
          <w:spacing w:val="10"/>
          <w:sz w:val="32"/>
          <w:szCs w:val="32"/>
          <w:lang w:val="en-US" w:eastAsia="zh-Hans"/>
        </w:rPr>
        <w:t>甲方所在地</w:t>
      </w:r>
      <w:r>
        <w:rPr>
          <w:rFonts w:hint="eastAsia" w:ascii="仿宋" w:hAnsi="仿宋" w:eastAsia="仿宋"/>
          <w:color w:val="auto"/>
          <w:spacing w:val="10"/>
          <w:sz w:val="32"/>
          <w:szCs w:val="32"/>
        </w:rPr>
        <w:t>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本合同无效或解除的，不影响甲乙双方之间对未了债务的追偿、清算和本合同中争议解决条文的效力。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ascii="仿宋" w:hAnsi="仿宋" w:eastAsia="仿宋"/>
          <w:color w:val="auto"/>
          <w:spacing w:val="10"/>
          <w:sz w:val="32"/>
          <w:szCs w:val="32"/>
        </w:rPr>
      </w:pPr>
      <w:r>
        <w:rPr>
          <w:rFonts w:hint="eastAsia" w:ascii="仿宋" w:hAnsi="仿宋" w:eastAsia="仿宋"/>
          <w:color w:val="auto"/>
          <w:spacing w:val="10"/>
          <w:sz w:val="32"/>
          <w:szCs w:val="32"/>
        </w:rPr>
        <w:t>（四）在纠纷解决的过程中，除受争端影响的部分外，本协议其他部分应继续执行。</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eastAsia="黑体"/>
          <w:b/>
          <w:bCs/>
          <w:color w:val="auto"/>
          <w:sz w:val="32"/>
          <w:szCs w:val="32"/>
        </w:rPr>
      </w:pPr>
      <w:r>
        <w:rPr>
          <w:rFonts w:hint="eastAsia" w:eastAsia="黑体"/>
          <w:b/>
          <w:bCs/>
          <w:color w:val="auto"/>
          <w:sz w:val="32"/>
          <w:szCs w:val="32"/>
        </w:rPr>
        <w:t>十、附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（一）本合同未尽事宜，按照</w:t>
      </w:r>
      <w:r>
        <w:rPr>
          <w:rFonts w:hint="default" w:ascii="仿宋" w:hAnsi="仿宋" w:eastAsia="仿宋"/>
          <w:color w:val="auto"/>
          <w:spacing w:val="10"/>
          <w:sz w:val="32"/>
          <w:szCs w:val="32"/>
        </w:rPr>
        <w:t>《</w:t>
      </w:r>
      <w:r>
        <w:rPr>
          <w:rFonts w:hint="eastAsia" w:ascii="仿宋" w:hAnsi="仿宋" w:eastAsia="仿宋"/>
          <w:color w:val="auto"/>
          <w:spacing w:val="10"/>
          <w:sz w:val="32"/>
          <w:szCs w:val="32"/>
        </w:rPr>
        <w:t>民法典</w:t>
      </w:r>
      <w:r>
        <w:rPr>
          <w:rFonts w:hint="default" w:ascii="仿宋" w:hAnsi="仿宋" w:eastAsia="仿宋"/>
          <w:color w:val="auto"/>
          <w:spacing w:val="10"/>
          <w:sz w:val="32"/>
          <w:szCs w:val="32"/>
        </w:rPr>
        <w:t>》、</w:t>
      </w:r>
      <w:r>
        <w:rPr>
          <w:rFonts w:hint="eastAsia" w:ascii="仿宋" w:hAnsi="仿宋" w:eastAsia="仿宋"/>
          <w:color w:val="auto"/>
          <w:spacing w:val="10"/>
          <w:sz w:val="32"/>
          <w:szCs w:val="32"/>
        </w:rPr>
        <w:t>招标投标法律、法规和有关规定办理。双方也可以签订不与本合同相抵触的补充条款。补充条款应参照建设部、国家工商行政管理总局制定的《工程建设项目招标代理合同示范文本》和按照项目实际情况进行补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（二）合同的生效：甲乙双方约定，本合同由甲乙双方法定代表人（负责人）或授权代表签字、</w:t>
      </w:r>
      <w:r>
        <w:rPr>
          <w:rFonts w:hint="eastAsia" w:ascii="仿宋" w:hAnsi="仿宋" w:eastAsia="仿宋"/>
          <w:color w:val="auto"/>
          <w:spacing w:val="10"/>
          <w:sz w:val="32"/>
          <w:szCs w:val="32"/>
          <w:lang w:val="en-US" w:eastAsia="zh-Hans"/>
        </w:rPr>
        <w:t>并</w:t>
      </w:r>
      <w:r>
        <w:rPr>
          <w:rFonts w:hint="eastAsia" w:ascii="仿宋" w:hAnsi="仿宋" w:eastAsia="仿宋"/>
          <w:color w:val="auto"/>
          <w:spacing w:val="10"/>
          <w:sz w:val="32"/>
          <w:szCs w:val="32"/>
        </w:rPr>
        <w:t>加盖双方公章后生效。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招标代理机构比选被认定为无效的，或错误确定中选人的，本合同自始无效。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（三）本协议一式</w:t>
      </w:r>
      <w:r>
        <w:rPr>
          <w:rFonts w:hint="eastAsia" w:ascii="仿宋" w:hAnsi="仿宋" w:eastAsia="仿宋"/>
          <w:color w:val="auto"/>
          <w:spacing w:val="10"/>
          <w:sz w:val="32"/>
          <w:szCs w:val="32"/>
          <w:u w:val="single"/>
          <w:lang w:val="en-US" w:eastAsia="zh-CN"/>
        </w:rPr>
        <w:t xml:space="preserve"> 陆 </w:t>
      </w:r>
      <w:r>
        <w:rPr>
          <w:rFonts w:hint="eastAsia" w:ascii="仿宋" w:hAnsi="仿宋" w:eastAsia="仿宋"/>
          <w:color w:val="auto"/>
          <w:spacing w:val="10"/>
          <w:sz w:val="32"/>
          <w:szCs w:val="32"/>
        </w:rPr>
        <w:t>份，</w:t>
      </w:r>
      <w:r>
        <w:rPr>
          <w:rFonts w:hint="eastAsia" w:ascii="仿宋" w:hAnsi="仿宋" w:eastAsia="仿宋"/>
          <w:color w:val="auto"/>
          <w:spacing w:val="10"/>
          <w:sz w:val="32"/>
          <w:szCs w:val="32"/>
          <w:lang w:eastAsia="zh-CN"/>
        </w:rPr>
        <w:t>甲方</w:t>
      </w:r>
      <w:r>
        <w:rPr>
          <w:rFonts w:hint="eastAsia" w:ascii="仿宋" w:hAnsi="仿宋" w:eastAsia="仿宋"/>
          <w:color w:val="auto"/>
          <w:spacing w:val="10"/>
          <w:sz w:val="32"/>
          <w:szCs w:val="32"/>
        </w:rPr>
        <w:t>执</w:t>
      </w:r>
      <w:r>
        <w:rPr>
          <w:rFonts w:hint="eastAsia" w:ascii="仿宋" w:hAnsi="仿宋" w:eastAsia="仿宋"/>
          <w:color w:val="auto"/>
          <w:spacing w:val="10"/>
          <w:sz w:val="32"/>
          <w:szCs w:val="32"/>
          <w:u w:val="single"/>
          <w:lang w:val="en-US" w:eastAsia="zh-CN"/>
        </w:rPr>
        <w:t>肆</w:t>
      </w:r>
      <w:r>
        <w:rPr>
          <w:rFonts w:hint="eastAsia" w:ascii="仿宋" w:hAnsi="仿宋" w:eastAsia="仿宋"/>
          <w:color w:val="auto"/>
          <w:spacing w:val="10"/>
          <w:sz w:val="32"/>
          <w:szCs w:val="32"/>
        </w:rPr>
        <w:t>份</w:t>
      </w:r>
      <w:r>
        <w:rPr>
          <w:rFonts w:hint="eastAsia" w:ascii="仿宋" w:hAnsi="仿宋" w:eastAsia="仿宋"/>
          <w:color w:val="auto"/>
          <w:spacing w:val="10"/>
          <w:sz w:val="32"/>
          <w:szCs w:val="32"/>
          <w:lang w:eastAsia="zh-CN"/>
        </w:rPr>
        <w:t>，乙方执</w:t>
      </w:r>
      <w:r>
        <w:rPr>
          <w:rFonts w:hint="eastAsia" w:ascii="仿宋" w:hAnsi="仿宋" w:eastAsia="仿宋" w:cs="Times New Roman"/>
          <w:color w:val="auto"/>
          <w:spacing w:val="10"/>
          <w:sz w:val="32"/>
          <w:szCs w:val="32"/>
          <w:u w:val="single"/>
          <w:lang w:eastAsia="zh-CN"/>
        </w:rPr>
        <w:t>贰</w:t>
      </w:r>
      <w:r>
        <w:rPr>
          <w:rFonts w:hint="eastAsia" w:ascii="仿宋" w:hAnsi="仿宋" w:eastAsia="仿宋"/>
          <w:color w:val="auto"/>
          <w:spacing w:val="10"/>
          <w:sz w:val="32"/>
          <w:szCs w:val="32"/>
          <w:lang w:eastAsia="zh-CN"/>
        </w:rPr>
        <w:t>份</w:t>
      </w:r>
      <w:r>
        <w:rPr>
          <w:rFonts w:hint="default" w:ascii="仿宋" w:hAnsi="仿宋" w:eastAsia="仿宋"/>
          <w:color w:val="auto"/>
          <w:spacing w:val="10"/>
          <w:sz w:val="32"/>
          <w:szCs w:val="32"/>
          <w:lang w:eastAsia="zh-CN"/>
        </w:rPr>
        <w:t>，</w:t>
      </w:r>
      <w:r>
        <w:rPr>
          <w:rFonts w:hint="eastAsia" w:ascii="仿宋" w:hAnsi="仿宋" w:eastAsia="仿宋"/>
          <w:color w:val="auto"/>
          <w:spacing w:val="10"/>
          <w:sz w:val="32"/>
          <w:szCs w:val="32"/>
          <w:lang w:val="en-US" w:eastAsia="zh-Hans"/>
        </w:rPr>
        <w:t>每份具有同等法律效力</w:t>
      </w:r>
      <w:r>
        <w:rPr>
          <w:rFonts w:hint="eastAsia" w:ascii="仿宋" w:hAnsi="仿宋" w:eastAsia="仿宋"/>
          <w:color w:val="auto"/>
          <w:spacing w:val="1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（四）本合同的补充条款是本合同的重要组成部分，与合同具有同等法律效力。但补充条款与正文发生抵触或不一致时，以正文为准。</w:t>
      </w:r>
    </w:p>
    <w:p>
      <w:pPr>
        <w:pStyle w:val="19"/>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（五）甲乙双方中的任何一方如更改其名称、地址、开户银行、银行账号时均应及时通知对方。甲乙双方的通信地址、联系人和开户情况如下：</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甲方（招标人）：四川铁道职业学院</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rPr>
      </w:pPr>
      <w:r>
        <w:rPr>
          <w:rFonts w:hint="eastAsia" w:ascii="仿宋" w:hAnsi="仿宋" w:eastAsia="仿宋"/>
          <w:color w:val="auto"/>
          <w:sz w:val="32"/>
          <w:szCs w:val="32"/>
        </w:rPr>
        <w:t>地址：</w:t>
      </w:r>
      <w:r>
        <w:rPr>
          <w:rFonts w:hint="eastAsia" w:ascii="仿宋" w:hAnsi="仿宋" w:eastAsia="仿宋"/>
          <w:color w:val="auto"/>
          <w:sz w:val="32"/>
          <w:szCs w:val="32"/>
          <w:u w:val="single"/>
        </w:rPr>
        <w:t xml:space="preserve"> 成都市郫都区安德街道彭温路399号</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rPr>
      </w:pPr>
      <w:r>
        <w:rPr>
          <w:rFonts w:hint="eastAsia" w:ascii="仿宋" w:hAnsi="仿宋" w:eastAsia="仿宋"/>
          <w:color w:val="auto"/>
          <w:sz w:val="32"/>
          <w:szCs w:val="32"/>
        </w:rPr>
        <w:t>授权代表：</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none"/>
        </w:rPr>
        <w:t xml:space="preserve"> </w:t>
      </w:r>
      <w:r>
        <w:rPr>
          <w:rFonts w:ascii="仿宋" w:hAnsi="仿宋" w:eastAsia="仿宋"/>
          <w:color w:val="auto"/>
          <w:sz w:val="32"/>
          <w:szCs w:val="32"/>
          <w:u w:val="none"/>
        </w:rPr>
        <w:t xml:space="preserve">      </w:t>
      </w:r>
      <w:r>
        <w:rPr>
          <w:rFonts w:hint="eastAsia" w:ascii="仿宋" w:hAnsi="仿宋" w:eastAsia="仿宋"/>
          <w:color w:val="auto"/>
          <w:sz w:val="32"/>
          <w:szCs w:val="32"/>
          <w:u w:val="none"/>
        </w:rPr>
        <w:t xml:space="preserve">  </w:t>
      </w:r>
      <w:r>
        <w:rPr>
          <w:rFonts w:hint="eastAsia" w:ascii="仿宋" w:hAnsi="仿宋" w:eastAsia="仿宋"/>
          <w:color w:val="auto"/>
          <w:sz w:val="32"/>
          <w:szCs w:val="32"/>
        </w:rPr>
        <w:t>邮编：</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仿宋" w:hAnsi="仿宋" w:eastAsia="仿宋"/>
          <w:color w:val="auto"/>
          <w:sz w:val="32"/>
          <w:szCs w:val="32"/>
          <w:u w:val="single"/>
        </w:rPr>
      </w:pPr>
      <w:r>
        <w:rPr>
          <w:rFonts w:hint="eastAsia" w:ascii="仿宋" w:hAnsi="仿宋" w:eastAsia="仿宋"/>
          <w:color w:val="auto"/>
          <w:sz w:val="32"/>
          <w:szCs w:val="32"/>
        </w:rPr>
        <w:t>电话：</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028-68939920  </w:t>
      </w:r>
      <w:r>
        <w:rPr>
          <w:rFonts w:ascii="仿宋" w:hAnsi="仿宋" w:eastAsia="仿宋"/>
          <w:color w:val="auto"/>
          <w:sz w:val="32"/>
          <w:szCs w:val="32"/>
          <w:u w:val="single"/>
        </w:rPr>
        <w:t xml:space="preserve">  </w:t>
      </w:r>
      <w:r>
        <w:rPr>
          <w:rFonts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 w:hAnsi="仿宋" w:eastAsia="仿宋"/>
          <w:color w:val="auto"/>
          <w:sz w:val="32"/>
          <w:szCs w:val="32"/>
        </w:rPr>
        <w:t>传真：</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rPr>
      </w:pPr>
      <w:r>
        <w:rPr>
          <w:rFonts w:hint="eastAsia" w:ascii="仿宋" w:hAnsi="仿宋" w:eastAsia="仿宋"/>
          <w:color w:val="auto"/>
          <w:sz w:val="32"/>
          <w:szCs w:val="32"/>
        </w:rPr>
        <w:t>开户银行：</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ascii="仿宋" w:hAnsi="仿宋" w:eastAsia="仿宋"/>
          <w:color w:val="auto"/>
          <w:sz w:val="32"/>
          <w:szCs w:val="32"/>
          <w:u w:val="single"/>
        </w:rPr>
        <w:t xml:space="preserve">        </w:t>
      </w:r>
      <w:r>
        <w:rPr>
          <w:rFonts w:hint="eastAsia" w:ascii="仿宋" w:hAnsi="仿宋" w:eastAsia="仿宋"/>
          <w:color w:val="auto"/>
          <w:sz w:val="32"/>
          <w:szCs w:val="32"/>
          <w:u w:val="none"/>
        </w:rPr>
        <w:t xml:space="preserve"> </w:t>
      </w:r>
      <w:r>
        <w:rPr>
          <w:rFonts w:ascii="仿宋" w:hAnsi="仿宋" w:eastAsia="仿宋"/>
          <w:color w:val="auto"/>
          <w:sz w:val="32"/>
          <w:szCs w:val="32"/>
          <w:u w:val="none"/>
        </w:rPr>
        <w:t xml:space="preserve">      </w:t>
      </w:r>
      <w:r>
        <w:rPr>
          <w:rFonts w:hint="eastAsia" w:ascii="仿宋" w:hAnsi="仿宋" w:eastAsia="仿宋"/>
          <w:color w:val="auto"/>
          <w:sz w:val="32"/>
          <w:szCs w:val="32"/>
          <w:u w:val="none"/>
        </w:rPr>
        <w:t xml:space="preserve"> </w:t>
      </w:r>
      <w:r>
        <w:rPr>
          <w:rFonts w:hint="eastAsia" w:ascii="仿宋" w:hAnsi="仿宋" w:eastAsia="仿宋"/>
          <w:color w:val="auto"/>
          <w:sz w:val="32"/>
          <w:szCs w:val="32"/>
        </w:rPr>
        <w:t>账号：</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none"/>
          <w:lang w:val="en-US" w:eastAsia="zh-CN"/>
        </w:rPr>
      </w:pPr>
      <w:r>
        <w:rPr>
          <w:rFonts w:hint="eastAsia" w:ascii="仿宋" w:hAnsi="仿宋" w:eastAsia="仿宋"/>
          <w:color w:val="auto"/>
          <w:sz w:val="32"/>
          <w:szCs w:val="32"/>
        </w:rPr>
        <w:t>乙方（招标代理机构）：</w:t>
      </w:r>
      <w:r>
        <w:rPr>
          <w:rFonts w:hint="eastAsia" w:ascii="仿宋" w:hAnsi="仿宋" w:eastAsia="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资格等级及证书编号：</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地址：</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rPr>
      </w:pPr>
      <w:r>
        <w:rPr>
          <w:rFonts w:hint="eastAsia" w:ascii="仿宋" w:hAnsi="仿宋" w:eastAsia="仿宋"/>
          <w:color w:val="auto"/>
          <w:sz w:val="32"/>
          <w:szCs w:val="32"/>
        </w:rPr>
        <w:t>授权代表：</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none"/>
        </w:rPr>
        <w:t xml:space="preserve">           </w:t>
      </w:r>
      <w:r>
        <w:rPr>
          <w:rFonts w:ascii="仿宋" w:hAnsi="仿宋" w:eastAsia="仿宋"/>
          <w:color w:val="auto"/>
          <w:sz w:val="32"/>
          <w:szCs w:val="32"/>
          <w:u w:val="none"/>
        </w:rPr>
        <w:t xml:space="preserve">   </w:t>
      </w:r>
      <w:r>
        <w:rPr>
          <w:rFonts w:hint="eastAsia" w:ascii="仿宋" w:hAnsi="仿宋" w:eastAsia="仿宋"/>
          <w:color w:val="auto"/>
          <w:sz w:val="32"/>
          <w:szCs w:val="32"/>
        </w:rPr>
        <w:t>邮编：</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仿宋" w:hAnsi="仿宋" w:eastAsia="仿宋"/>
          <w:color w:val="auto"/>
          <w:sz w:val="32"/>
          <w:szCs w:val="32"/>
          <w:u w:val="single"/>
          <w:lang w:val="en-US"/>
        </w:rPr>
      </w:pPr>
      <w:r>
        <w:rPr>
          <w:rFonts w:hint="eastAsia" w:ascii="仿宋" w:hAnsi="仿宋" w:eastAsia="仿宋"/>
          <w:color w:val="auto"/>
          <w:sz w:val="32"/>
          <w:szCs w:val="32"/>
        </w:rPr>
        <w:t>电话：</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none"/>
        </w:rPr>
        <w:t xml:space="preserve"> </w:t>
      </w:r>
      <w:r>
        <w:rPr>
          <w:rFonts w:ascii="仿宋" w:hAnsi="仿宋" w:eastAsia="仿宋"/>
          <w:color w:val="auto"/>
          <w:sz w:val="32"/>
          <w:szCs w:val="32"/>
          <w:u w:val="none"/>
        </w:rPr>
        <w:t xml:space="preserve">          </w:t>
      </w:r>
      <w:r>
        <w:rPr>
          <w:rFonts w:hint="eastAsia" w:ascii="仿宋" w:hAnsi="仿宋" w:eastAsia="仿宋"/>
          <w:color w:val="auto"/>
          <w:sz w:val="32"/>
          <w:szCs w:val="32"/>
        </w:rPr>
        <w:t>传真：</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开户银行：</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账号：</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80" w:firstLineChars="200"/>
        <w:textAlignment w:val="auto"/>
        <w:rPr>
          <w:rFonts w:hint="eastAsia" w:ascii="仿宋" w:hAnsi="仿宋" w:eastAsia="仿宋"/>
          <w:color w:val="auto"/>
          <w:spacing w:val="10"/>
          <w:sz w:val="32"/>
          <w:szCs w:val="32"/>
        </w:rPr>
      </w:pPr>
      <w:r>
        <w:rPr>
          <w:rFonts w:hint="eastAsia" w:ascii="仿宋" w:hAnsi="仿宋" w:eastAsia="仿宋"/>
          <w:color w:val="auto"/>
          <w:spacing w:val="10"/>
          <w:sz w:val="32"/>
          <w:szCs w:val="32"/>
        </w:rPr>
        <w:t>（六）补充条款（补充条款只能就本合同未尽事宜作出约定，但补充条款必须符合法律、法规的规定，也不得与补充条款之前的正文条款相抵触，否则该补充条款无效，以正文为准。如无补充条款，则打上斜杠“/”。）</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hint="eastAsia" w:ascii="仿宋" w:hAnsi="仿宋" w:eastAsia="仿宋" w:cs="Times New Roman"/>
          <w:color w:val="auto"/>
          <w:spacing w:val="10"/>
          <w:sz w:val="32"/>
          <w:szCs w:val="32"/>
          <w:u w:val="single"/>
        </w:rPr>
        <w:t xml:space="preserve"> </w:t>
      </w:r>
      <w:r>
        <w:rPr>
          <w:rFonts w:hint="eastAsia" w:ascii="仿宋" w:hAnsi="仿宋" w:eastAsia="仿宋" w:cs="Times New Roman"/>
          <w:color w:val="auto"/>
          <w:spacing w:val="10"/>
          <w:sz w:val="32"/>
          <w:szCs w:val="32"/>
          <w:u w:val="single"/>
          <w:lang w:val="en-US" w:eastAsia="zh-CN"/>
        </w:rPr>
        <w:t xml:space="preserve">  招标代理服务费由中标单位支付。     </w:t>
      </w:r>
      <w:r>
        <w:rPr>
          <w:rFonts w:hint="eastAsia" w:ascii="仿宋" w:hAnsi="仿宋" w:eastAsia="仿宋"/>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ascii="仿宋" w:hAnsi="仿宋" w:eastAsia="仿宋"/>
          <w:color w:val="auto"/>
          <w:sz w:val="32"/>
          <w:szCs w:val="32"/>
          <w:u w:val="single"/>
        </w:rPr>
      </w:pP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rPr>
      </w:pPr>
      <w:r>
        <w:rPr>
          <w:rFonts w:hint="eastAsia" w:ascii="仿宋" w:hAnsi="仿宋" w:eastAsia="仿宋"/>
          <w:color w:val="auto"/>
          <w:sz w:val="32"/>
          <w:szCs w:val="32"/>
        </w:rPr>
        <w:t>甲方：</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（单位公章）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乙方：</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Hans"/>
        </w:rPr>
        <w:t>负责</w:t>
      </w:r>
      <w:r>
        <w:rPr>
          <w:rFonts w:hint="eastAsia" w:ascii="仿宋" w:hAnsi="仿宋" w:eastAsia="仿宋"/>
          <w:color w:val="auto"/>
          <w:sz w:val="32"/>
          <w:szCs w:val="32"/>
        </w:rPr>
        <w:t>人                     法定代表人</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 w:hAnsi="仿宋" w:eastAsia="仿宋"/>
          <w:color w:val="auto"/>
          <w:sz w:val="32"/>
          <w:szCs w:val="32"/>
        </w:rPr>
      </w:pPr>
      <w:r>
        <w:rPr>
          <w:rFonts w:hint="eastAsia" w:ascii="仿宋" w:hAnsi="仿宋" w:eastAsia="仿宋"/>
          <w:color w:val="auto"/>
          <w:sz w:val="32"/>
          <w:szCs w:val="32"/>
        </w:rPr>
        <w:t>或被授权人：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        或被授权人：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right"/>
        <w:textAlignment w:val="auto"/>
        <w:rPr>
          <w:rFonts w:hint="eastAsia"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right"/>
        <w:textAlignment w:val="auto"/>
        <w:rPr>
          <w:rFonts w:hint="eastAsia" w:ascii="仿宋" w:hAnsi="仿宋" w:eastAsia="仿宋"/>
          <w:color w:val="auto"/>
          <w:sz w:val="32"/>
          <w:szCs w:val="32"/>
        </w:rPr>
      </w:pPr>
      <w:r>
        <w:rPr>
          <w:rFonts w:hint="eastAsia" w:ascii="仿宋" w:hAnsi="仿宋" w:eastAsia="仿宋"/>
          <w:color w:val="auto"/>
          <w:sz w:val="32"/>
          <w:szCs w:val="32"/>
        </w:rPr>
        <w:t>合同订立时间：</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2024</w:t>
      </w:r>
      <w:r>
        <w:rPr>
          <w:rFonts w:hint="eastAsia" w:ascii="仿宋" w:hAnsi="仿宋" w:eastAsia="仿宋"/>
          <w:color w:val="auto"/>
          <w:sz w:val="32"/>
          <w:szCs w:val="32"/>
        </w:rPr>
        <w:t>年</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120" w:firstLineChars="1600"/>
        <w:textAlignment w:val="auto"/>
        <w:rPr>
          <w:rFonts w:hint="eastAsia" w:ascii="仿宋" w:hAnsi="仿宋" w:eastAsia="仿宋"/>
          <w:color w:val="auto"/>
          <w:sz w:val="32"/>
          <w:u w:val="single"/>
        </w:rPr>
      </w:pPr>
      <w:r>
        <w:rPr>
          <w:rFonts w:hint="eastAsia" w:ascii="仿宋" w:hAnsi="仿宋" w:eastAsia="仿宋"/>
          <w:color w:val="auto"/>
          <w:sz w:val="32"/>
          <w:szCs w:val="32"/>
        </w:rPr>
        <w:t>合同订立地点：</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 xml:space="preserve">  </w:t>
      </w:r>
      <w:r>
        <w:rPr>
          <w:color w:val="auto"/>
          <w:sz w:val="32"/>
          <w:u w:val="single"/>
        </w:rPr>
        <w:br w:type="page"/>
      </w:r>
      <w:r>
        <w:rPr>
          <w:rFonts w:hint="eastAsia" w:eastAsia="黑体"/>
          <w:color w:val="auto"/>
          <w:spacing w:val="2"/>
          <w:sz w:val="32"/>
        </w:rPr>
        <w:t xml:space="preserve">注  </w:t>
      </w:r>
      <w:r>
        <w:rPr>
          <w:rFonts w:hint="eastAsia" w:ascii="仿宋" w:hAnsi="仿宋" w:eastAsia="仿宋"/>
          <w:color w:val="auto"/>
          <w:sz w:val="32"/>
        </w:rPr>
        <w:t>①本合同有下划线处（“</w:t>
      </w:r>
      <w:r>
        <w:rPr>
          <w:rFonts w:hint="eastAsia" w:ascii="仿宋" w:hAnsi="仿宋" w:eastAsia="仿宋"/>
          <w:color w:val="auto"/>
          <w:sz w:val="32"/>
          <w:u w:val="single"/>
        </w:rPr>
        <w:t xml:space="preserve">    </w:t>
      </w:r>
      <w:r>
        <w:rPr>
          <w:rFonts w:hint="eastAsia" w:ascii="仿宋" w:hAnsi="仿宋" w:eastAsia="仿宋"/>
          <w:color w:val="auto"/>
          <w:sz w:val="32"/>
        </w:rPr>
        <w:t>”）为必填项目，不得留有空白，由甲乙双方用不褪色的墨水或签字笔用正楷字填写（手填）。</w:t>
      </w:r>
    </w:p>
    <w:p>
      <w:pPr>
        <w:spacing w:after="156" w:afterLines="50" w:line="560" w:lineRule="exact"/>
        <w:ind w:firstLine="640" w:firstLineChars="200"/>
        <w:rPr>
          <w:rFonts w:hint="eastAsia" w:ascii="仿宋" w:hAnsi="仿宋" w:eastAsia="仿宋"/>
          <w:color w:val="auto"/>
          <w:sz w:val="32"/>
        </w:rPr>
      </w:pPr>
      <w:r>
        <w:rPr>
          <w:rFonts w:hint="eastAsia" w:ascii="仿宋" w:hAnsi="仿宋" w:eastAsia="仿宋"/>
          <w:color w:val="auto"/>
          <w:sz w:val="32"/>
        </w:rPr>
        <w:t>②本合同有【 】处为选择项目，紧接其后有两个或三个可供选择的项目，甲乙双方协商后只能任选其一（必选），将序号（大写）填入【 】内。</w:t>
      </w:r>
    </w:p>
    <w:p>
      <w:pPr>
        <w:spacing w:after="156" w:afterLines="50" w:line="560" w:lineRule="exact"/>
        <w:ind w:firstLine="640" w:firstLineChars="200"/>
        <w:rPr>
          <w:rFonts w:hint="eastAsia" w:ascii="仿宋" w:hAnsi="仿宋" w:eastAsia="仿宋"/>
          <w:color w:val="auto"/>
          <w:sz w:val="32"/>
        </w:rPr>
      </w:pPr>
      <w:r>
        <w:rPr>
          <w:rFonts w:hint="eastAsia" w:ascii="仿宋" w:hAnsi="仿宋" w:eastAsia="仿宋"/>
          <w:color w:val="auto"/>
          <w:sz w:val="32"/>
        </w:rPr>
        <w:t>③根据《四川省人民政府办公厅关于进一步规范招投标活动有关问题的通知》</w:t>
      </w:r>
      <w:r>
        <w:rPr>
          <w:rFonts w:hint="eastAsia" w:ascii="仿宋" w:hAnsi="仿宋" w:eastAsia="仿宋"/>
          <w:color w:val="auto"/>
          <w:sz w:val="32"/>
          <w:lang w:eastAsia="zh-CN"/>
        </w:rPr>
        <w:t>（</w:t>
      </w:r>
      <w:r>
        <w:rPr>
          <w:rFonts w:hint="eastAsia" w:ascii="仿宋" w:hAnsi="仿宋" w:eastAsia="仿宋"/>
          <w:color w:val="auto"/>
          <w:sz w:val="32"/>
        </w:rPr>
        <w:t>川办函</w:t>
      </w:r>
      <w:r>
        <w:rPr>
          <w:rFonts w:hint="eastAsia" w:ascii="仿宋" w:hAnsi="仿宋" w:eastAsia="仿宋"/>
          <w:color w:val="auto"/>
          <w:sz w:val="32"/>
          <w:lang w:eastAsia="zh-CN"/>
        </w:rPr>
        <w:t>〔</w:t>
      </w:r>
      <w:r>
        <w:rPr>
          <w:rFonts w:hint="eastAsia" w:ascii="仿宋" w:hAnsi="仿宋" w:eastAsia="仿宋"/>
          <w:color w:val="auto"/>
          <w:sz w:val="32"/>
        </w:rPr>
        <w:t>2005</w:t>
      </w:r>
      <w:r>
        <w:rPr>
          <w:rFonts w:hint="eastAsia" w:ascii="仿宋" w:hAnsi="仿宋" w:eastAsia="仿宋"/>
          <w:color w:val="auto"/>
          <w:sz w:val="32"/>
          <w:lang w:eastAsia="zh-CN"/>
        </w:rPr>
        <w:t>〕</w:t>
      </w:r>
      <w:r>
        <w:rPr>
          <w:rFonts w:hint="eastAsia" w:ascii="仿宋" w:hAnsi="仿宋" w:eastAsia="仿宋"/>
          <w:color w:val="auto"/>
          <w:sz w:val="32"/>
        </w:rPr>
        <w:t>145号</w:t>
      </w:r>
      <w:r>
        <w:rPr>
          <w:rFonts w:hint="eastAsia" w:ascii="仿宋" w:hAnsi="仿宋" w:eastAsia="仿宋"/>
          <w:color w:val="auto"/>
          <w:sz w:val="32"/>
          <w:lang w:eastAsia="zh-CN"/>
        </w:rPr>
        <w:t>）</w:t>
      </w:r>
      <w:r>
        <w:rPr>
          <w:rFonts w:hint="eastAsia" w:ascii="仿宋" w:hAnsi="仿宋" w:eastAsia="仿宋"/>
          <w:color w:val="auto"/>
          <w:sz w:val="32"/>
        </w:rPr>
        <w:t>“规范文本在国家投资工程建设项目招投标中强制使用”的规定，使用本合同时除填写和选择部分外，不得作任何删减和修改。</w:t>
      </w:r>
    </w:p>
    <w:p>
      <w:pPr>
        <w:spacing w:after="156" w:afterLines="50" w:line="560" w:lineRule="exact"/>
        <w:ind w:firstLine="640" w:firstLineChars="200"/>
        <w:rPr>
          <w:rFonts w:hint="eastAsia" w:ascii="仿宋" w:hAnsi="仿宋" w:eastAsia="仿宋"/>
          <w:color w:val="auto"/>
          <w:sz w:val="32"/>
        </w:rPr>
      </w:pPr>
      <w:r>
        <w:rPr>
          <w:rFonts w:hint="eastAsia" w:ascii="仿宋" w:hAnsi="仿宋" w:eastAsia="仿宋"/>
          <w:color w:val="auto"/>
          <w:sz w:val="32"/>
        </w:rPr>
        <w:t>④签订本合同时，甲方应再次查验乙方的营业执照和招标代理机构资质证书。法定代表人签字的，应查验其身份；法定代表人的授权代理人签字的，应查验其授权委托书和代理人的身份。</w:t>
      </w:r>
    </w:p>
    <w:p>
      <w:pPr>
        <w:spacing w:after="156" w:afterLines="50" w:line="560" w:lineRule="exact"/>
        <w:ind w:firstLine="640" w:firstLineChars="200"/>
        <w:rPr>
          <w:rFonts w:hint="eastAsia" w:ascii="仿宋" w:hAnsi="仿宋" w:eastAsia="仿宋"/>
          <w:color w:val="auto"/>
          <w:sz w:val="32"/>
        </w:rPr>
      </w:pPr>
      <w:r>
        <w:rPr>
          <w:rFonts w:hint="eastAsia" w:ascii="仿宋" w:hAnsi="仿宋" w:eastAsia="仿宋"/>
          <w:color w:val="auto"/>
          <w:sz w:val="32"/>
        </w:rPr>
        <w:t>⑤代理合同及其附件（公开比选的包括比选文件、比选报告、代理申请书；邀请比选的随机选择招标代理机构报告）由招标人进行备案。代理合同（不含附件）的电子文档（已备案的正本用扫描仪扫描，图像类型为RGB色彩，JPG格式，分辨率300ppi。扫描后建立文件夹名为某某项目代理合同，分页编码为01、02、03……）由招标代理机构提供。</w:t>
      </w:r>
    </w:p>
    <w:p>
      <w:pPr>
        <w:spacing w:after="156" w:afterLines="50" w:line="560" w:lineRule="exact"/>
        <w:rPr>
          <w:rFonts w:hint="eastAsia" w:ascii="仿宋" w:hAnsi="仿宋" w:eastAsia="仿宋"/>
          <w:color w:val="auto"/>
          <w:sz w:val="32"/>
        </w:rPr>
      </w:pPr>
    </w:p>
    <w:p>
      <w:pPr>
        <w:spacing w:after="156" w:afterLines="50" w:line="560" w:lineRule="exact"/>
        <w:rPr>
          <w:rFonts w:hint="eastAsia" w:ascii="仿宋" w:hAnsi="仿宋" w:eastAsia="仿宋"/>
          <w:color w:val="auto"/>
          <w:sz w:val="32"/>
        </w:rPr>
      </w:pPr>
    </w:p>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B42C1"/>
    <w:multiLevelType w:val="singleLevel"/>
    <w:tmpl w:val="8F7B42C1"/>
    <w:lvl w:ilvl="0" w:tentative="0">
      <w:start w:val="1"/>
      <w:numFmt w:val="decimal"/>
      <w:lvlText w:val="%1."/>
      <w:lvlJc w:val="left"/>
      <w:pPr>
        <w:ind w:left="425" w:hanging="425"/>
      </w:pPr>
      <w:rPr>
        <w:rFonts w:hint="default"/>
      </w:rPr>
    </w:lvl>
  </w:abstractNum>
  <w:abstractNum w:abstractNumId="1">
    <w:nsid w:val="CC5251BE"/>
    <w:multiLevelType w:val="singleLevel"/>
    <w:tmpl w:val="CC5251BE"/>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japaneseCounting"/>
      <w:lvlText w:val="（%1）"/>
      <w:lvlJc w:val="left"/>
      <w:pPr>
        <w:tabs>
          <w:tab w:val="left" w:pos="1530"/>
        </w:tabs>
        <w:ind w:left="1530" w:hanging="1110"/>
      </w:pPr>
      <w:rPr>
        <w:rFonts w:hint="eastAsia"/>
      </w:rPr>
    </w:lvl>
    <w:lvl w:ilvl="1" w:tentative="0">
      <w:start w:val="1"/>
      <w:numFmt w:val="decimal"/>
      <w:lvlText w:val="%2."/>
      <w:lvlJc w:val="left"/>
      <w:pPr>
        <w:tabs>
          <w:tab w:val="left" w:pos="1230"/>
        </w:tabs>
        <w:ind w:left="1230" w:hanging="39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4"/>
    <w:multiLevelType w:val="multilevel"/>
    <w:tmpl w:val="00000004"/>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05"/>
    <w:multiLevelType w:val="multilevel"/>
    <w:tmpl w:val="00000005"/>
    <w:lvl w:ilvl="0" w:tentative="0">
      <w:start w:val="1"/>
      <w:numFmt w:val="japaneseCounting"/>
      <w:lvlText w:val="（%1）"/>
      <w:lvlJc w:val="left"/>
      <w:pPr>
        <w:tabs>
          <w:tab w:val="left" w:pos="1920"/>
        </w:tabs>
        <w:ind w:left="1920" w:hanging="1080"/>
      </w:pPr>
      <w:rPr>
        <w:rFonts w:hint="eastAsia"/>
      </w:rPr>
    </w:lvl>
    <w:lvl w:ilvl="1" w:tentative="0">
      <w:start w:val="1"/>
      <w:numFmt w:val="decimal"/>
      <w:lvlText w:val="%2."/>
      <w:lvlJc w:val="left"/>
      <w:pPr>
        <w:tabs>
          <w:tab w:val="left" w:pos="1620"/>
        </w:tabs>
        <w:ind w:left="1620"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0000000E"/>
    <w:multiLevelType w:val="multilevel"/>
    <w:tmpl w:val="0000000E"/>
    <w:lvl w:ilvl="0" w:tentative="0">
      <w:start w:val="1"/>
      <w:numFmt w:val="japaneseCounting"/>
      <w:lvlText w:val="（%1）"/>
      <w:lvlJc w:val="left"/>
      <w:pPr>
        <w:tabs>
          <w:tab w:val="left" w:pos="1500"/>
        </w:tabs>
        <w:ind w:left="150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japaneseCounting"/>
      <w:lvlText w:val="（%1）"/>
      <w:lvlJc w:val="left"/>
      <w:pPr>
        <w:tabs>
          <w:tab w:val="left" w:pos="1500"/>
        </w:tabs>
        <w:ind w:left="1500" w:hanging="108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0289B0C"/>
    <w:multiLevelType w:val="singleLevel"/>
    <w:tmpl w:val="10289B0C"/>
    <w:lvl w:ilvl="0" w:tentative="0">
      <w:start w:val="1"/>
      <w:numFmt w:val="chineseCounting"/>
      <w:suff w:val="nothing"/>
      <w:lvlText w:val="%1、"/>
      <w:lvlJc w:val="left"/>
      <w:rPr>
        <w:rFonts w:hint="eastAsia"/>
      </w:rPr>
    </w:lvl>
  </w:abstractNum>
  <w:abstractNum w:abstractNumId="8">
    <w:nsid w:val="11976EFF"/>
    <w:multiLevelType w:val="multilevel"/>
    <w:tmpl w:val="11976EFF"/>
    <w:lvl w:ilvl="0" w:tentative="0">
      <w:start w:val="1"/>
      <w:numFmt w:val="japaneseCounting"/>
      <w:lvlText w:val="（%1）"/>
      <w:lvlJc w:val="left"/>
      <w:pPr>
        <w:tabs>
          <w:tab w:val="left" w:pos="1500"/>
        </w:tabs>
        <w:ind w:left="1500" w:hanging="108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6AA0236"/>
    <w:multiLevelType w:val="multilevel"/>
    <w:tmpl w:val="26AA0236"/>
    <w:lvl w:ilvl="0" w:tentative="0">
      <w:start w:val="2"/>
      <w:numFmt w:val="japaneseCounting"/>
      <w:lvlText w:val="（%1）"/>
      <w:lvlJc w:val="left"/>
      <w:pPr>
        <w:tabs>
          <w:tab w:val="left" w:pos="1500"/>
        </w:tabs>
        <w:ind w:left="1500" w:hanging="108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0">
    <w:nsid w:val="3A98274E"/>
    <w:multiLevelType w:val="multilevel"/>
    <w:tmpl w:val="3A98274E"/>
    <w:lvl w:ilvl="0" w:tentative="0">
      <w:start w:val="1"/>
      <w:numFmt w:val="chineseCountingThousand"/>
      <w:lvlText w:val="(%1)"/>
      <w:lvlJc w:val="left"/>
      <w:pPr>
        <w:ind w:left="1100" w:hanging="420"/>
      </w:pPr>
    </w:lvl>
    <w:lvl w:ilvl="1" w:tentative="0">
      <w:start w:val="1"/>
      <w:numFmt w:val="lowerLetter"/>
      <w:lvlText w:val="%2)"/>
      <w:lvlJc w:val="left"/>
      <w:pPr>
        <w:ind w:left="1520" w:hanging="420"/>
      </w:pPr>
    </w:lvl>
    <w:lvl w:ilvl="2" w:tentative="0">
      <w:start w:val="1"/>
      <w:numFmt w:val="lowerRoman"/>
      <w:lvlText w:val="%3."/>
      <w:lvlJc w:val="right"/>
      <w:pPr>
        <w:ind w:left="1940" w:hanging="420"/>
      </w:pPr>
    </w:lvl>
    <w:lvl w:ilvl="3" w:tentative="0">
      <w:start w:val="1"/>
      <w:numFmt w:val="decimal"/>
      <w:lvlText w:val="%4."/>
      <w:lvlJc w:val="left"/>
      <w:pPr>
        <w:ind w:left="2360" w:hanging="420"/>
      </w:pPr>
    </w:lvl>
    <w:lvl w:ilvl="4" w:tentative="0">
      <w:start w:val="1"/>
      <w:numFmt w:val="lowerLetter"/>
      <w:lvlText w:val="%5)"/>
      <w:lvlJc w:val="left"/>
      <w:pPr>
        <w:ind w:left="2780" w:hanging="420"/>
      </w:pPr>
    </w:lvl>
    <w:lvl w:ilvl="5" w:tentative="0">
      <w:start w:val="1"/>
      <w:numFmt w:val="lowerRoman"/>
      <w:lvlText w:val="%6."/>
      <w:lvlJc w:val="right"/>
      <w:pPr>
        <w:ind w:left="3200" w:hanging="420"/>
      </w:pPr>
    </w:lvl>
    <w:lvl w:ilvl="6" w:tentative="0">
      <w:start w:val="1"/>
      <w:numFmt w:val="decimal"/>
      <w:lvlText w:val="%7."/>
      <w:lvlJc w:val="left"/>
      <w:pPr>
        <w:ind w:left="3620" w:hanging="420"/>
      </w:pPr>
    </w:lvl>
    <w:lvl w:ilvl="7" w:tentative="0">
      <w:start w:val="1"/>
      <w:numFmt w:val="lowerLetter"/>
      <w:lvlText w:val="%8)"/>
      <w:lvlJc w:val="left"/>
      <w:pPr>
        <w:ind w:left="4040" w:hanging="420"/>
      </w:pPr>
    </w:lvl>
    <w:lvl w:ilvl="8" w:tentative="0">
      <w:start w:val="1"/>
      <w:numFmt w:val="lowerRoman"/>
      <w:lvlText w:val="%9."/>
      <w:lvlJc w:val="right"/>
      <w:pPr>
        <w:ind w:left="4460" w:hanging="420"/>
      </w:p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55A4FD20"/>
    <w:multiLevelType w:val="singleLevel"/>
    <w:tmpl w:val="55A4FD20"/>
    <w:lvl w:ilvl="0" w:tentative="0">
      <w:start w:val="8"/>
      <w:numFmt w:val="chineseCounting"/>
      <w:suff w:val="nothing"/>
      <w:lvlText w:val="%1、"/>
      <w:lvlJc w:val="left"/>
      <w:rPr>
        <w:rFonts w:hint="eastAsia"/>
      </w:rPr>
    </w:lvl>
  </w:abstractNum>
  <w:abstractNum w:abstractNumId="13">
    <w:nsid w:val="5E74B9EE"/>
    <w:multiLevelType w:val="singleLevel"/>
    <w:tmpl w:val="5E74B9EE"/>
    <w:lvl w:ilvl="0" w:tentative="0">
      <w:start w:val="1"/>
      <w:numFmt w:val="chineseCounting"/>
      <w:suff w:val="nothing"/>
      <w:lvlText w:val="%1、"/>
      <w:lvlJc w:val="left"/>
      <w:rPr>
        <w:rFonts w:hint="eastAsia"/>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1"/>
  </w:num>
  <w:num w:numId="2">
    <w:abstractNumId w:val="7"/>
  </w:num>
  <w:num w:numId="3">
    <w:abstractNumId w:val="14"/>
  </w:num>
  <w:num w:numId="4">
    <w:abstractNumId w:val="12"/>
  </w:num>
  <w:num w:numId="5">
    <w:abstractNumId w:val="13"/>
  </w:num>
  <w:num w:numId="6">
    <w:abstractNumId w:val="5"/>
  </w:num>
  <w:num w:numId="7">
    <w:abstractNumId w:val="8"/>
  </w:num>
  <w:num w:numId="8">
    <w:abstractNumId w:val="10"/>
  </w:num>
  <w:num w:numId="9">
    <w:abstractNumId w:val="4"/>
  </w:num>
  <w:num w:numId="10">
    <w:abstractNumId w:val="6"/>
  </w:num>
  <w:num w:numId="11">
    <w:abstractNumId w:val="2"/>
  </w:num>
  <w:num w:numId="12">
    <w:abstractNumId w:val="0"/>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18F2EE2"/>
    <w:rsid w:val="026F1557"/>
    <w:rsid w:val="02810D87"/>
    <w:rsid w:val="02BA54DB"/>
    <w:rsid w:val="02EA4873"/>
    <w:rsid w:val="031A72A8"/>
    <w:rsid w:val="039C0A0A"/>
    <w:rsid w:val="03BB6210"/>
    <w:rsid w:val="03CE5F43"/>
    <w:rsid w:val="049A5E25"/>
    <w:rsid w:val="05373674"/>
    <w:rsid w:val="05597A8E"/>
    <w:rsid w:val="0659586C"/>
    <w:rsid w:val="06641F4F"/>
    <w:rsid w:val="0781507A"/>
    <w:rsid w:val="07BD3408"/>
    <w:rsid w:val="07F55C66"/>
    <w:rsid w:val="087921F6"/>
    <w:rsid w:val="08E6728C"/>
    <w:rsid w:val="09104908"/>
    <w:rsid w:val="09500754"/>
    <w:rsid w:val="09526CCE"/>
    <w:rsid w:val="09657974"/>
    <w:rsid w:val="0A751832"/>
    <w:rsid w:val="0AE129A7"/>
    <w:rsid w:val="0B5331D2"/>
    <w:rsid w:val="0B8B296C"/>
    <w:rsid w:val="0BAB7BC8"/>
    <w:rsid w:val="0BD52F0E"/>
    <w:rsid w:val="0D156991"/>
    <w:rsid w:val="0D2E0060"/>
    <w:rsid w:val="0DBF68FD"/>
    <w:rsid w:val="0DC878B8"/>
    <w:rsid w:val="0E0B47ED"/>
    <w:rsid w:val="0E945864"/>
    <w:rsid w:val="0EC3241C"/>
    <w:rsid w:val="0F462A38"/>
    <w:rsid w:val="0FAB0EE6"/>
    <w:rsid w:val="1032785A"/>
    <w:rsid w:val="12152FD8"/>
    <w:rsid w:val="123553DF"/>
    <w:rsid w:val="12ED5CBA"/>
    <w:rsid w:val="1379754E"/>
    <w:rsid w:val="13ED5F7E"/>
    <w:rsid w:val="14F766D0"/>
    <w:rsid w:val="14F90946"/>
    <w:rsid w:val="15415E49"/>
    <w:rsid w:val="15F86E50"/>
    <w:rsid w:val="161E1652"/>
    <w:rsid w:val="16421E79"/>
    <w:rsid w:val="16CF5E02"/>
    <w:rsid w:val="176127D3"/>
    <w:rsid w:val="17A0779F"/>
    <w:rsid w:val="18075128"/>
    <w:rsid w:val="1A3D2A44"/>
    <w:rsid w:val="1A417B90"/>
    <w:rsid w:val="1B5508A0"/>
    <w:rsid w:val="1B9273FE"/>
    <w:rsid w:val="1BAB04C0"/>
    <w:rsid w:val="1BC161D3"/>
    <w:rsid w:val="1BF84678"/>
    <w:rsid w:val="1D75282A"/>
    <w:rsid w:val="1DCA10D2"/>
    <w:rsid w:val="1E7352AD"/>
    <w:rsid w:val="1EAA20B1"/>
    <w:rsid w:val="1EF8161D"/>
    <w:rsid w:val="1F3F5AEF"/>
    <w:rsid w:val="1F550E6F"/>
    <w:rsid w:val="1F811C64"/>
    <w:rsid w:val="1FDF7646"/>
    <w:rsid w:val="20062169"/>
    <w:rsid w:val="20EA3839"/>
    <w:rsid w:val="20F546B7"/>
    <w:rsid w:val="21132D8F"/>
    <w:rsid w:val="21D50045"/>
    <w:rsid w:val="21E549B1"/>
    <w:rsid w:val="22022E9B"/>
    <w:rsid w:val="22B10AB2"/>
    <w:rsid w:val="22E30F16"/>
    <w:rsid w:val="23525A07"/>
    <w:rsid w:val="23BC14BC"/>
    <w:rsid w:val="23C46957"/>
    <w:rsid w:val="244E0945"/>
    <w:rsid w:val="24A73F1B"/>
    <w:rsid w:val="251F61A7"/>
    <w:rsid w:val="255D7BA8"/>
    <w:rsid w:val="25B6018D"/>
    <w:rsid w:val="25F9028E"/>
    <w:rsid w:val="2624159B"/>
    <w:rsid w:val="27767BD4"/>
    <w:rsid w:val="27D61735"/>
    <w:rsid w:val="28A6098D"/>
    <w:rsid w:val="28FD65EE"/>
    <w:rsid w:val="2920604A"/>
    <w:rsid w:val="2936274F"/>
    <w:rsid w:val="29B669AE"/>
    <w:rsid w:val="29F424DA"/>
    <w:rsid w:val="2A6308E4"/>
    <w:rsid w:val="2C5A7AC4"/>
    <w:rsid w:val="2CE9283B"/>
    <w:rsid w:val="2D2F4913"/>
    <w:rsid w:val="2D83275B"/>
    <w:rsid w:val="2E47276C"/>
    <w:rsid w:val="2F4800A8"/>
    <w:rsid w:val="2FA51FF8"/>
    <w:rsid w:val="2FBD0A96"/>
    <w:rsid w:val="2FE06533"/>
    <w:rsid w:val="302C0287"/>
    <w:rsid w:val="3075353C"/>
    <w:rsid w:val="30843362"/>
    <w:rsid w:val="315471D8"/>
    <w:rsid w:val="33774A8E"/>
    <w:rsid w:val="33D1136B"/>
    <w:rsid w:val="33FC5905"/>
    <w:rsid w:val="34BA3DC1"/>
    <w:rsid w:val="34BC2E77"/>
    <w:rsid w:val="357C4F4F"/>
    <w:rsid w:val="35D703D8"/>
    <w:rsid w:val="35E514C7"/>
    <w:rsid w:val="36201D7F"/>
    <w:rsid w:val="362A2931"/>
    <w:rsid w:val="365E28A7"/>
    <w:rsid w:val="368816D2"/>
    <w:rsid w:val="370B658B"/>
    <w:rsid w:val="374C0952"/>
    <w:rsid w:val="37BF5665"/>
    <w:rsid w:val="38726196"/>
    <w:rsid w:val="387C7014"/>
    <w:rsid w:val="3891486E"/>
    <w:rsid w:val="38A87E0A"/>
    <w:rsid w:val="39775E88"/>
    <w:rsid w:val="397F6DBC"/>
    <w:rsid w:val="3A57182E"/>
    <w:rsid w:val="3A993EAE"/>
    <w:rsid w:val="3ACE22AB"/>
    <w:rsid w:val="3AE66A84"/>
    <w:rsid w:val="3B003F2D"/>
    <w:rsid w:val="3B245E6D"/>
    <w:rsid w:val="3C2A189E"/>
    <w:rsid w:val="3C44609B"/>
    <w:rsid w:val="3CD76F0F"/>
    <w:rsid w:val="3D8B0579"/>
    <w:rsid w:val="4048214A"/>
    <w:rsid w:val="40D5722F"/>
    <w:rsid w:val="414334DE"/>
    <w:rsid w:val="423C1CEE"/>
    <w:rsid w:val="423D5A66"/>
    <w:rsid w:val="425132C0"/>
    <w:rsid w:val="429531AD"/>
    <w:rsid w:val="42B0448A"/>
    <w:rsid w:val="42D31F27"/>
    <w:rsid w:val="43C81360"/>
    <w:rsid w:val="44290050"/>
    <w:rsid w:val="446A056C"/>
    <w:rsid w:val="44FE43E9"/>
    <w:rsid w:val="453C51A9"/>
    <w:rsid w:val="46333408"/>
    <w:rsid w:val="468C0D6B"/>
    <w:rsid w:val="477E30E1"/>
    <w:rsid w:val="47F6649C"/>
    <w:rsid w:val="488C5052"/>
    <w:rsid w:val="48D013E2"/>
    <w:rsid w:val="490D0C92"/>
    <w:rsid w:val="49A60395"/>
    <w:rsid w:val="4A170E76"/>
    <w:rsid w:val="4A39529F"/>
    <w:rsid w:val="4A4E6A63"/>
    <w:rsid w:val="4ADC2FC7"/>
    <w:rsid w:val="4B1120BD"/>
    <w:rsid w:val="4C30416B"/>
    <w:rsid w:val="4C453E95"/>
    <w:rsid w:val="4CF3569F"/>
    <w:rsid w:val="4D265A75"/>
    <w:rsid w:val="4DD46FDF"/>
    <w:rsid w:val="4DF74D1B"/>
    <w:rsid w:val="4F6C1739"/>
    <w:rsid w:val="4FDC241B"/>
    <w:rsid w:val="503E6C32"/>
    <w:rsid w:val="5261632C"/>
    <w:rsid w:val="52630BD1"/>
    <w:rsid w:val="528374C6"/>
    <w:rsid w:val="530A434B"/>
    <w:rsid w:val="53E57E13"/>
    <w:rsid w:val="54A61249"/>
    <w:rsid w:val="55067F3A"/>
    <w:rsid w:val="5519759C"/>
    <w:rsid w:val="551B5E9C"/>
    <w:rsid w:val="55D32512"/>
    <w:rsid w:val="55FF2978"/>
    <w:rsid w:val="564231F4"/>
    <w:rsid w:val="57160F93"/>
    <w:rsid w:val="57F329F7"/>
    <w:rsid w:val="58022C3B"/>
    <w:rsid w:val="580C3AB9"/>
    <w:rsid w:val="58501BF8"/>
    <w:rsid w:val="5994098E"/>
    <w:rsid w:val="59A33FA9"/>
    <w:rsid w:val="5AC11CB2"/>
    <w:rsid w:val="5B8F47E5"/>
    <w:rsid w:val="5BD13050"/>
    <w:rsid w:val="5BD415B9"/>
    <w:rsid w:val="5C013209"/>
    <w:rsid w:val="5DD45079"/>
    <w:rsid w:val="5E124648"/>
    <w:rsid w:val="5E9345EC"/>
    <w:rsid w:val="610C4B2A"/>
    <w:rsid w:val="613B6943"/>
    <w:rsid w:val="616C1F97"/>
    <w:rsid w:val="618648DC"/>
    <w:rsid w:val="61B52ACC"/>
    <w:rsid w:val="62BB2364"/>
    <w:rsid w:val="62CA0DEA"/>
    <w:rsid w:val="6317781A"/>
    <w:rsid w:val="637C5F97"/>
    <w:rsid w:val="639037F0"/>
    <w:rsid w:val="63BF40D6"/>
    <w:rsid w:val="64542A70"/>
    <w:rsid w:val="646A2293"/>
    <w:rsid w:val="648B6D5C"/>
    <w:rsid w:val="64DD4218"/>
    <w:rsid w:val="6554084E"/>
    <w:rsid w:val="6572372B"/>
    <w:rsid w:val="65EC4433"/>
    <w:rsid w:val="66083B12"/>
    <w:rsid w:val="6639016F"/>
    <w:rsid w:val="668D2269"/>
    <w:rsid w:val="66F9345B"/>
    <w:rsid w:val="671E7365"/>
    <w:rsid w:val="67987117"/>
    <w:rsid w:val="679C66B0"/>
    <w:rsid w:val="68060AC4"/>
    <w:rsid w:val="68554B6D"/>
    <w:rsid w:val="68EA39A3"/>
    <w:rsid w:val="69020CEC"/>
    <w:rsid w:val="6AD5702B"/>
    <w:rsid w:val="6B87372B"/>
    <w:rsid w:val="6C765DD8"/>
    <w:rsid w:val="6CB56076"/>
    <w:rsid w:val="6CB843E9"/>
    <w:rsid w:val="6CE556DE"/>
    <w:rsid w:val="6D231231"/>
    <w:rsid w:val="6D4713C4"/>
    <w:rsid w:val="6EE25A7E"/>
    <w:rsid w:val="6F671833"/>
    <w:rsid w:val="6FDF3411"/>
    <w:rsid w:val="708E13B0"/>
    <w:rsid w:val="70BD4D8A"/>
    <w:rsid w:val="7169267E"/>
    <w:rsid w:val="73CC2623"/>
    <w:rsid w:val="73D80876"/>
    <w:rsid w:val="73E27DCB"/>
    <w:rsid w:val="745F0A3D"/>
    <w:rsid w:val="75994A53"/>
    <w:rsid w:val="760F2C9B"/>
    <w:rsid w:val="765E4A8E"/>
    <w:rsid w:val="77A86F03"/>
    <w:rsid w:val="780E2ADE"/>
    <w:rsid w:val="78175E36"/>
    <w:rsid w:val="79F521A7"/>
    <w:rsid w:val="7A17211E"/>
    <w:rsid w:val="7B001352"/>
    <w:rsid w:val="7CEC65E1"/>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4"/>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5"/>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7"/>
    <w:autoRedefine/>
    <w:qFormat/>
    <w:uiPriority w:val="0"/>
    <w:pPr>
      <w:jc w:val="left"/>
    </w:pPr>
  </w:style>
  <w:style w:type="paragraph" w:styleId="8">
    <w:name w:val="Body Text 3"/>
    <w:basedOn w:val="1"/>
    <w:autoRedefine/>
    <w:qFormat/>
    <w:uiPriority w:val="0"/>
    <w:pPr>
      <w:spacing w:after="120" w:afterLines="0" w:afterAutospacing="0"/>
    </w:pPr>
    <w:rPr>
      <w:sz w:val="16"/>
    </w:rPr>
  </w:style>
  <w:style w:type="paragraph" w:styleId="9">
    <w:name w:val="Body Text"/>
    <w:basedOn w:val="1"/>
    <w:next w:val="8"/>
    <w:link w:val="36"/>
    <w:autoRedefine/>
    <w:qFormat/>
    <w:uiPriority w:val="0"/>
    <w:pPr>
      <w:spacing w:after="120"/>
    </w:pPr>
  </w:style>
  <w:style w:type="paragraph" w:styleId="10">
    <w:name w:val="Body Text Indent"/>
    <w:basedOn w:val="1"/>
    <w:autoRedefine/>
    <w:qFormat/>
    <w:uiPriority w:val="99"/>
    <w:pPr>
      <w:tabs>
        <w:tab w:val="left" w:pos="1500"/>
      </w:tabs>
      <w:ind w:left="-180"/>
    </w:pPr>
    <w:rPr>
      <w:rFonts w:ascii="宋体" w:hAnsi="宋体"/>
      <w:sz w:val="24"/>
    </w:rPr>
  </w:style>
  <w:style w:type="paragraph" w:styleId="11">
    <w:name w:val="Plain Text"/>
    <w:basedOn w:val="1"/>
    <w:next w:val="6"/>
    <w:autoRedefine/>
    <w:qFormat/>
    <w:uiPriority w:val="0"/>
    <w:rPr>
      <w:rFonts w:hAnsi="Courier New"/>
    </w:rPr>
  </w:style>
  <w:style w:type="paragraph" w:styleId="12">
    <w:name w:val="Date"/>
    <w:basedOn w:val="1"/>
    <w:next w:val="1"/>
    <w:link w:val="51"/>
    <w:autoRedefine/>
    <w:semiHidden/>
    <w:unhideWhenUsed/>
    <w:qFormat/>
    <w:uiPriority w:val="99"/>
    <w:pPr>
      <w:ind w:left="100" w:leftChars="2500"/>
    </w:pPr>
  </w:style>
  <w:style w:type="paragraph" w:styleId="13">
    <w:name w:val="Body Text Indent 2"/>
    <w:basedOn w:val="1"/>
    <w:link w:val="38"/>
    <w:autoRedefine/>
    <w:qFormat/>
    <w:uiPriority w:val="0"/>
    <w:pPr>
      <w:ind w:firstLine="630"/>
    </w:pPr>
    <w:rPr>
      <w:sz w:val="32"/>
    </w:rPr>
  </w:style>
  <w:style w:type="paragraph" w:styleId="14">
    <w:name w:val="Balloon Text"/>
    <w:basedOn w:val="1"/>
    <w:link w:val="54"/>
    <w:autoRedefine/>
    <w:semiHidden/>
    <w:unhideWhenUsed/>
    <w:qFormat/>
    <w:uiPriority w:val="99"/>
    <w:rPr>
      <w:sz w:val="18"/>
      <w:szCs w:val="18"/>
    </w:rPr>
  </w:style>
  <w:style w:type="paragraph" w:styleId="15">
    <w:name w:val="footer"/>
    <w:basedOn w:val="1"/>
    <w:link w:val="32"/>
    <w:autoRedefine/>
    <w:unhideWhenUsed/>
    <w:qFormat/>
    <w:uiPriority w:val="0"/>
    <w:pPr>
      <w:tabs>
        <w:tab w:val="center" w:pos="4153"/>
        <w:tab w:val="right" w:pos="8306"/>
      </w:tabs>
      <w:snapToGrid w:val="0"/>
      <w:jc w:val="left"/>
    </w:pPr>
    <w:rPr>
      <w:sz w:val="18"/>
      <w:szCs w:val="18"/>
    </w:rPr>
  </w:style>
  <w:style w:type="paragraph" w:styleId="16">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9"/>
    <w:autoRedefine/>
    <w:qFormat/>
    <w:uiPriority w:val="0"/>
    <w:rPr>
      <w:sz w:val="28"/>
    </w:rPr>
  </w:style>
  <w:style w:type="paragraph" w:styleId="19">
    <w:name w:val="Body Text Indent 3"/>
    <w:basedOn w:val="1"/>
    <w:autoRedefine/>
    <w:qFormat/>
    <w:uiPriority w:val="0"/>
    <w:pPr>
      <w:spacing w:after="156" w:afterLines="50" w:line="560" w:lineRule="exact"/>
      <w:ind w:firstLine="420"/>
    </w:pPr>
    <w:rPr>
      <w:sz w:val="32"/>
    </w:rPr>
  </w:style>
  <w:style w:type="paragraph" w:styleId="20">
    <w:name w:val="Body Text 2"/>
    <w:basedOn w:val="1"/>
    <w:autoRedefine/>
    <w:qFormat/>
    <w:uiPriority w:val="0"/>
    <w:pPr>
      <w:spacing w:line="480" w:lineRule="auto"/>
    </w:pPr>
    <w:rPr>
      <w:rFonts w:ascii="Times New Roman"/>
    </w:rPr>
  </w:style>
  <w:style w:type="paragraph" w:styleId="21">
    <w:name w:val="annotation subject"/>
    <w:basedOn w:val="7"/>
    <w:next w:val="7"/>
    <w:link w:val="52"/>
    <w:autoRedefine/>
    <w:semiHidden/>
    <w:unhideWhenUsed/>
    <w:qFormat/>
    <w:uiPriority w:val="99"/>
    <w:rPr>
      <w:b/>
      <w:bCs/>
    </w:rPr>
  </w:style>
  <w:style w:type="paragraph" w:styleId="22">
    <w:name w:val="Body Text First Indent"/>
    <w:basedOn w:val="9"/>
    <w:link w:val="40"/>
    <w:autoRedefine/>
    <w:qFormat/>
    <w:uiPriority w:val="0"/>
    <w:pPr>
      <w:spacing w:line="360" w:lineRule="auto"/>
      <w:ind w:firstLine="420"/>
    </w:pPr>
    <w:rPr>
      <w:rFonts w:ascii="宋体" w:hAnsi="宋体"/>
      <w:sz w:val="24"/>
    </w:rPr>
  </w:style>
  <w:style w:type="table" w:styleId="24">
    <w:name w:val="Table Grid"/>
    <w:basedOn w:val="23"/>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paragraph" w:customStyle="1" w:styleId="28">
    <w:name w:val="标题 5（有编号）（绿盟科技）"/>
    <w:basedOn w:val="29"/>
    <w:next w:val="3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1">
    <w:name w:val="页眉 字符"/>
    <w:basedOn w:val="25"/>
    <w:link w:val="16"/>
    <w:autoRedefine/>
    <w:qFormat/>
    <w:uiPriority w:val="99"/>
    <w:rPr>
      <w:sz w:val="18"/>
      <w:szCs w:val="18"/>
    </w:rPr>
  </w:style>
  <w:style w:type="character" w:customStyle="1" w:styleId="32">
    <w:name w:val="页脚 字符"/>
    <w:basedOn w:val="25"/>
    <w:link w:val="15"/>
    <w:autoRedefine/>
    <w:qFormat/>
    <w:uiPriority w:val="99"/>
    <w:rPr>
      <w:sz w:val="18"/>
      <w:szCs w:val="18"/>
    </w:rPr>
  </w:style>
  <w:style w:type="character" w:customStyle="1" w:styleId="33">
    <w:name w:val="标题 1 字符"/>
    <w:basedOn w:val="25"/>
    <w:link w:val="2"/>
    <w:autoRedefine/>
    <w:qFormat/>
    <w:uiPriority w:val="99"/>
    <w:rPr>
      <w:b/>
      <w:bCs/>
      <w:kern w:val="44"/>
      <w:sz w:val="44"/>
      <w:szCs w:val="44"/>
    </w:rPr>
  </w:style>
  <w:style w:type="character" w:customStyle="1" w:styleId="34">
    <w:name w:val="标题 2 字符"/>
    <w:basedOn w:val="25"/>
    <w:link w:val="3"/>
    <w:autoRedefine/>
    <w:qFormat/>
    <w:uiPriority w:val="0"/>
    <w:rPr>
      <w:rFonts w:ascii="Arial" w:hAnsi="Arial" w:eastAsia="仿宋"/>
      <w:b/>
      <w:bCs/>
      <w:sz w:val="28"/>
      <w:szCs w:val="32"/>
    </w:rPr>
  </w:style>
  <w:style w:type="character" w:customStyle="1" w:styleId="35">
    <w:name w:val="标题 3 字符"/>
    <w:basedOn w:val="25"/>
    <w:link w:val="4"/>
    <w:autoRedefine/>
    <w:qFormat/>
    <w:uiPriority w:val="0"/>
    <w:rPr>
      <w:rFonts w:eastAsia="仿宋"/>
      <w:b/>
      <w:sz w:val="30"/>
    </w:rPr>
  </w:style>
  <w:style w:type="character" w:customStyle="1" w:styleId="36">
    <w:name w:val="正文文本 字符"/>
    <w:basedOn w:val="25"/>
    <w:link w:val="9"/>
    <w:autoRedefine/>
    <w:qFormat/>
    <w:uiPriority w:val="0"/>
  </w:style>
  <w:style w:type="character" w:customStyle="1" w:styleId="37">
    <w:name w:val="批注文字 字符"/>
    <w:basedOn w:val="25"/>
    <w:link w:val="7"/>
    <w:autoRedefine/>
    <w:qFormat/>
    <w:uiPriority w:val="0"/>
  </w:style>
  <w:style w:type="character" w:customStyle="1" w:styleId="38">
    <w:name w:val="正文文本缩进 2 字符"/>
    <w:basedOn w:val="25"/>
    <w:link w:val="13"/>
    <w:autoRedefine/>
    <w:qFormat/>
    <w:uiPriority w:val="0"/>
    <w:rPr>
      <w:sz w:val="32"/>
    </w:rPr>
  </w:style>
  <w:style w:type="character" w:customStyle="1" w:styleId="39">
    <w:name w:val="副标题 字符"/>
    <w:basedOn w:val="25"/>
    <w:link w:val="18"/>
    <w:autoRedefine/>
    <w:qFormat/>
    <w:uiPriority w:val="0"/>
    <w:rPr>
      <w:sz w:val="28"/>
    </w:rPr>
  </w:style>
  <w:style w:type="character" w:customStyle="1" w:styleId="40">
    <w:name w:val="正文首行缩进 字符"/>
    <w:basedOn w:val="36"/>
    <w:link w:val="22"/>
    <w:autoRedefine/>
    <w:qFormat/>
    <w:uiPriority w:val="0"/>
    <w:rPr>
      <w:rFonts w:ascii="宋体" w:hAnsi="宋体"/>
      <w:sz w:val="24"/>
    </w:rPr>
  </w:style>
  <w:style w:type="paragraph" w:customStyle="1" w:styleId="41">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autoRedefine/>
    <w:qFormat/>
    <w:uiPriority w:val="0"/>
    <w:pPr>
      <w:spacing w:line="400" w:lineRule="exact"/>
    </w:pPr>
    <w:rPr>
      <w:sz w:val="24"/>
      <w:szCs w:val="24"/>
    </w:rPr>
  </w:style>
  <w:style w:type="paragraph" w:customStyle="1" w:styleId="44">
    <w:name w:val="样式 首行缩进:  2 字符"/>
    <w:basedOn w:val="1"/>
    <w:autoRedefine/>
    <w:qFormat/>
    <w:uiPriority w:val="0"/>
    <w:pPr>
      <w:spacing w:line="400" w:lineRule="exact"/>
      <w:ind w:firstLine="200" w:firstLineChars="200"/>
    </w:pPr>
    <w:rPr>
      <w:rFonts w:cs="宋体"/>
      <w:sz w:val="24"/>
    </w:rPr>
  </w:style>
  <w:style w:type="paragraph" w:customStyle="1" w:styleId="45">
    <w:name w:val="列出段落1"/>
    <w:basedOn w:val="1"/>
    <w:autoRedefine/>
    <w:qFormat/>
    <w:uiPriority w:val="0"/>
    <w:pPr>
      <w:ind w:firstLine="420" w:firstLineChars="200"/>
    </w:pPr>
    <w:rPr>
      <w:szCs w:val="24"/>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 w:type="paragraph" w:customStyle="1" w:styleId="47">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8">
    <w:name w:val="font31"/>
    <w:autoRedefine/>
    <w:qFormat/>
    <w:uiPriority w:val="0"/>
    <w:rPr>
      <w:rFonts w:hint="eastAsia" w:ascii="宋体" w:hAnsi="宋体" w:eastAsia="宋体" w:cs="宋体"/>
      <w:b/>
      <w:color w:val="000000"/>
      <w:sz w:val="22"/>
      <w:szCs w:val="22"/>
      <w:u w:val="none"/>
    </w:rPr>
  </w:style>
  <w:style w:type="character" w:customStyle="1" w:styleId="49">
    <w:name w:val="font21"/>
    <w:autoRedefine/>
    <w:qFormat/>
    <w:uiPriority w:val="0"/>
    <w:rPr>
      <w:rFonts w:hint="eastAsia" w:ascii="宋体" w:hAnsi="宋体" w:eastAsia="宋体" w:cs="宋体"/>
      <w:color w:val="000000"/>
      <w:sz w:val="20"/>
      <w:szCs w:val="20"/>
      <w:u w:val="none"/>
    </w:rPr>
  </w:style>
  <w:style w:type="character" w:customStyle="1" w:styleId="50">
    <w:name w:val="font81"/>
    <w:basedOn w:val="25"/>
    <w:autoRedefine/>
    <w:qFormat/>
    <w:uiPriority w:val="0"/>
    <w:rPr>
      <w:rFonts w:hint="eastAsia" w:ascii="宋体" w:hAnsi="宋体" w:eastAsia="宋体" w:cs="宋体"/>
      <w:b/>
      <w:color w:val="000000"/>
      <w:sz w:val="22"/>
      <w:szCs w:val="22"/>
      <w:u w:val="none"/>
    </w:rPr>
  </w:style>
  <w:style w:type="character" w:customStyle="1" w:styleId="51">
    <w:name w:val="日期 字符"/>
    <w:basedOn w:val="25"/>
    <w:link w:val="12"/>
    <w:autoRedefine/>
    <w:semiHidden/>
    <w:qFormat/>
    <w:uiPriority w:val="99"/>
    <w:rPr>
      <w:kern w:val="2"/>
      <w:sz w:val="21"/>
      <w:szCs w:val="22"/>
    </w:rPr>
  </w:style>
  <w:style w:type="character" w:customStyle="1" w:styleId="52">
    <w:name w:val="批注主题 字符"/>
    <w:basedOn w:val="37"/>
    <w:link w:val="21"/>
    <w:autoRedefine/>
    <w:semiHidden/>
    <w:qFormat/>
    <w:uiPriority w:val="99"/>
    <w:rPr>
      <w:b/>
      <w:bCs/>
      <w:kern w:val="2"/>
      <w:sz w:val="21"/>
      <w:szCs w:val="22"/>
    </w:rPr>
  </w:style>
  <w:style w:type="paragraph" w:customStyle="1" w:styleId="53">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4">
    <w:name w:val="批注框文本 字符"/>
    <w:basedOn w:val="25"/>
    <w:link w:val="14"/>
    <w:autoRedefine/>
    <w:semiHidden/>
    <w:qFormat/>
    <w:uiPriority w:val="99"/>
    <w:rPr>
      <w:kern w:val="2"/>
      <w:sz w:val="18"/>
      <w:szCs w:val="18"/>
    </w:rPr>
  </w:style>
  <w:style w:type="character" w:customStyle="1" w:styleId="55">
    <w:name w:val="font11"/>
    <w:basedOn w:val="25"/>
    <w:autoRedefine/>
    <w:qFormat/>
    <w:uiPriority w:val="0"/>
    <w:rPr>
      <w:rFonts w:hint="eastAsia" w:ascii="宋体" w:hAnsi="宋体" w:eastAsia="宋体" w:cs="宋体"/>
      <w:color w:val="000000"/>
      <w:sz w:val="21"/>
      <w:szCs w:val="21"/>
      <w:u w:val="none"/>
    </w:rPr>
  </w:style>
  <w:style w:type="paragraph" w:styleId="56">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57">
    <w:name w:val="List Paragraph"/>
    <w:basedOn w:val="1"/>
    <w:autoRedefine/>
    <w:qFormat/>
    <w:uiPriority w:val="99"/>
    <w:pPr>
      <w:ind w:firstLine="420" w:firstLineChars="200"/>
    </w:pPr>
  </w:style>
  <w:style w:type="table" w:customStyle="1" w:styleId="58">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46</Pages>
  <Words>19119</Words>
  <Characters>20091</Characters>
  <Lines>130</Lines>
  <Paragraphs>36</Paragraphs>
  <TotalTime>12</TotalTime>
  <ScaleCrop>false</ScaleCrop>
  <LinksUpToDate>false</LinksUpToDate>
  <CharactersWithSpaces>20868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2024-04-25T10:45:16Z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30BF2A90811447149A0BC9FD83390EB0_13</vt:lpwstr>
  </property>
</Properties>
</file>